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6" w:type="dxa"/>
        <w:jc w:val="center"/>
        <w:tblLook w:val="01E0" w:firstRow="1" w:lastRow="1" w:firstColumn="1" w:lastColumn="1" w:noHBand="0" w:noVBand="0"/>
      </w:tblPr>
      <w:tblGrid>
        <w:gridCol w:w="3745"/>
        <w:gridCol w:w="6011"/>
      </w:tblGrid>
      <w:tr w:rsidR="00657E8E" w:rsidRPr="00094259" w:rsidTr="00484C92">
        <w:trPr>
          <w:trHeight w:val="779"/>
          <w:jc w:val="center"/>
        </w:trPr>
        <w:tc>
          <w:tcPr>
            <w:tcW w:w="3745" w:type="dxa"/>
          </w:tcPr>
          <w:p w:rsidR="00657E8E" w:rsidRPr="00094259" w:rsidRDefault="00657E8E" w:rsidP="00484C92">
            <w:pPr>
              <w:pStyle w:val="Heading8"/>
              <w:widowControl w:val="0"/>
              <w:jc w:val="center"/>
              <w:rPr>
                <w:bCs w:val="0"/>
                <w:sz w:val="26"/>
                <w:szCs w:val="26"/>
              </w:rPr>
            </w:pPr>
            <w:bookmarkStart w:id="0" w:name="_GoBack"/>
            <w:bookmarkEnd w:id="0"/>
            <w:r w:rsidRPr="00094259">
              <w:rPr>
                <w:bCs w:val="0"/>
                <w:sz w:val="26"/>
                <w:szCs w:val="26"/>
              </w:rPr>
              <w:t>ỦY BAN NHÂN DÂN</w:t>
            </w:r>
          </w:p>
          <w:p w:rsidR="00657E8E" w:rsidRPr="00094259" w:rsidRDefault="00657E8E" w:rsidP="00484C92">
            <w:pPr>
              <w:keepNext/>
              <w:widowControl w:val="0"/>
              <w:jc w:val="center"/>
              <w:rPr>
                <w:b/>
                <w:sz w:val="24"/>
                <w:szCs w:val="26"/>
              </w:rPr>
            </w:pPr>
            <w:r w:rsidRPr="00094259">
              <w:rPr>
                <w:b/>
                <w:sz w:val="26"/>
                <w:szCs w:val="26"/>
              </w:rPr>
              <w:t>THÀNH PHỐ ĐÀ NẴNG</w:t>
            </w:r>
          </w:p>
          <w:p w:rsidR="00657E8E" w:rsidRPr="00094259" w:rsidRDefault="00657E8E" w:rsidP="00484C92">
            <w:pPr>
              <w:keepNext/>
              <w:widowControl w:val="0"/>
              <w:jc w:val="center"/>
              <w:rPr>
                <w:b/>
                <w:sz w:val="6"/>
                <w:szCs w:val="26"/>
              </w:rPr>
            </w:pPr>
            <w:r>
              <w:rPr>
                <w:b/>
                <w:noProof/>
                <w:sz w:val="6"/>
                <w:szCs w:val="26"/>
              </w:rPr>
              <mc:AlternateContent>
                <mc:Choice Requires="wps">
                  <w:drawing>
                    <wp:anchor distT="0" distB="0" distL="114300" distR="114300" simplePos="0" relativeHeight="251660288" behindDoc="0" locked="0" layoutInCell="1" allowOverlap="1">
                      <wp:simplePos x="0" y="0"/>
                      <wp:positionH relativeFrom="column">
                        <wp:posOffset>484505</wp:posOffset>
                      </wp:positionH>
                      <wp:positionV relativeFrom="paragraph">
                        <wp:posOffset>40005</wp:posOffset>
                      </wp:positionV>
                      <wp:extent cx="1028700" cy="0"/>
                      <wp:effectExtent l="10160" t="6350" r="8890" b="127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5pt,3.15pt" to="119.1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"/>
                  </w:pict>
                </mc:Fallback>
              </mc:AlternateContent>
            </w:r>
            <w:r w:rsidRPr="00094259">
              <w:rPr>
                <w:b/>
                <w:sz w:val="6"/>
                <w:szCs w:val="26"/>
              </w:rPr>
              <w:t xml:space="preserve"> </w:t>
            </w:r>
          </w:p>
          <w:p w:rsidR="00657E8E" w:rsidRPr="00094259" w:rsidRDefault="00657E8E" w:rsidP="00484C92">
            <w:pPr>
              <w:keepNext/>
              <w:widowControl w:val="0"/>
              <w:spacing w:before="200"/>
              <w:jc w:val="center"/>
              <w:rPr>
                <w:sz w:val="26"/>
                <w:szCs w:val="26"/>
              </w:rPr>
            </w:pPr>
            <w:r w:rsidRPr="00094259">
              <w:rPr>
                <w:bCs/>
                <w:sz w:val="26"/>
              </w:rPr>
              <w:t>Số:         /2021/QĐ-UBND</w:t>
            </w:r>
          </w:p>
        </w:tc>
        <w:tc>
          <w:tcPr>
            <w:tcW w:w="6011" w:type="dxa"/>
          </w:tcPr>
          <w:p w:rsidR="00657E8E" w:rsidRPr="00094259" w:rsidRDefault="00657E8E" w:rsidP="00484C92">
            <w:pPr>
              <w:pStyle w:val="Heading8"/>
              <w:widowControl w:val="0"/>
              <w:jc w:val="center"/>
              <w:rPr>
                <w:bCs w:val="0"/>
                <w:sz w:val="26"/>
                <w:szCs w:val="26"/>
              </w:rPr>
            </w:pPr>
            <w:r w:rsidRPr="00094259">
              <w:rPr>
                <w:bCs w:val="0"/>
                <w:sz w:val="26"/>
                <w:szCs w:val="26"/>
              </w:rPr>
              <w:t>CỘNG HÒA XÃ HỘI CHỦ NGHĨA VIỆT NAM</w:t>
            </w:r>
          </w:p>
          <w:p w:rsidR="00657E8E" w:rsidRPr="00094259" w:rsidRDefault="00657E8E" w:rsidP="00484C92">
            <w:pPr>
              <w:keepNext/>
              <w:widowControl w:val="0"/>
              <w:jc w:val="center"/>
              <w:rPr>
                <w:b/>
              </w:rPr>
            </w:pPr>
            <w:r w:rsidRPr="00094259">
              <w:rPr>
                <w:b/>
              </w:rPr>
              <w:t>Độc lập - Tự do - Hạnh phúc</w:t>
            </w:r>
          </w:p>
          <w:p w:rsidR="00657E8E" w:rsidRPr="00094259" w:rsidRDefault="00657E8E" w:rsidP="00484C92">
            <w:pPr>
              <w:keepNext/>
              <w:widowControl w:val="0"/>
              <w:spacing w:before="200"/>
              <w:jc w:val="center"/>
              <w:rPr>
                <w:sz w:val="26"/>
                <w:szCs w:val="26"/>
              </w:rPr>
            </w:pPr>
            <w:r>
              <w:rPr>
                <w:noProof/>
                <w:sz w:val="14"/>
                <w:szCs w:val="26"/>
              </w:rPr>
              <mc:AlternateContent>
                <mc:Choice Requires="wps">
                  <w:drawing>
                    <wp:anchor distT="0" distB="0" distL="114300" distR="114300" simplePos="0" relativeHeight="251661312" behindDoc="0" locked="0" layoutInCell="1" allowOverlap="1">
                      <wp:simplePos x="0" y="0"/>
                      <wp:positionH relativeFrom="column">
                        <wp:posOffset>768350</wp:posOffset>
                      </wp:positionH>
                      <wp:positionV relativeFrom="paragraph">
                        <wp:posOffset>30480</wp:posOffset>
                      </wp:positionV>
                      <wp:extent cx="2232660" cy="0"/>
                      <wp:effectExtent l="5080" t="11430" r="10160" b="76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2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2.4pt" to="236.3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"/>
                  </w:pict>
                </mc:Fallback>
              </mc:AlternateContent>
            </w:r>
            <w:r w:rsidRPr="00094259">
              <w:rPr>
                <w:bCs/>
                <w:i/>
                <w:sz w:val="26"/>
              </w:rPr>
              <w:t>Đà Nẵng, ngày       tháng         năm 2021</w:t>
            </w:r>
          </w:p>
        </w:tc>
      </w:tr>
    </w:tbl>
    <w:p w:rsidR="00657E8E" w:rsidRPr="00094259" w:rsidRDefault="00657E8E" w:rsidP="00657E8E">
      <w:pPr>
        <w:jc w:val="center"/>
        <w:rPr>
          <w:b/>
          <w:sz w:val="24"/>
          <w:szCs w:val="12"/>
          <w:lang w:val="nl-NL"/>
        </w:rPr>
      </w:pPr>
    </w:p>
    <w:p w:rsidR="00657E8E" w:rsidRPr="00094259" w:rsidRDefault="00657E8E" w:rsidP="00657E8E">
      <w:pPr>
        <w:tabs>
          <w:tab w:val="left" w:pos="413"/>
        </w:tabs>
        <w:rPr>
          <w:b/>
          <w:lang w:val="nl-NL"/>
        </w:rPr>
      </w:pPr>
      <w:r>
        <w:rPr>
          <w:b/>
          <w:noProof/>
        </w:rPr>
        <mc:AlternateContent>
          <mc:Choice Requires="wps">
            <w:drawing>
              <wp:anchor distT="0" distB="0" distL="114300" distR="114300" simplePos="0" relativeHeight="251662336" behindDoc="0" locked="0" layoutInCell="1" allowOverlap="1">
                <wp:simplePos x="0" y="0"/>
                <wp:positionH relativeFrom="column">
                  <wp:posOffset>327025</wp:posOffset>
                </wp:positionH>
                <wp:positionV relativeFrom="paragraph">
                  <wp:posOffset>57785</wp:posOffset>
                </wp:positionV>
                <wp:extent cx="1065530" cy="309880"/>
                <wp:effectExtent l="6985" t="7620" r="13335"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5530" cy="309880"/>
                        </a:xfrm>
                        <a:prstGeom prst="rect">
                          <a:avLst/>
                        </a:prstGeom>
                        <a:solidFill>
                          <a:srgbClr val="FFFFFF"/>
                        </a:solidFill>
                        <a:ln w="9525">
                          <a:solidFill>
                            <a:srgbClr val="000000"/>
                          </a:solidFill>
                          <a:miter lim="800000"/>
                          <a:headEnd/>
                          <a:tailEnd/>
                        </a:ln>
                      </wps:spPr>
                      <wps:txbx>
                        <w:txbxContent>
                          <w:p w:rsidR="00657E8E" w:rsidRPr="00C23CAE" w:rsidRDefault="00657E8E" w:rsidP="00657E8E">
                            <w:pPr>
                              <w:rPr>
                                <w:b/>
                                <w:sz w:val="26"/>
                                <w:szCs w:val="26"/>
                              </w:rPr>
                            </w:pPr>
                            <w:r>
                              <w:t xml:space="preserve">  </w:t>
                            </w:r>
                            <w:r w:rsidRPr="00C23CAE">
                              <w:rPr>
                                <w:b/>
                                <w:sz w:val="26"/>
                                <w:szCs w:val="26"/>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5.75pt;margin-top:4.55pt;width:83.9pt;height:2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">
                <v:textbox>
                  <w:txbxContent>
                    <w:p w:rsidR="00657E8E" w:rsidRPr="00C23CAE" w:rsidRDefault="00657E8E" w:rsidP="00657E8E">
                      <w:pPr>
                        <w:rPr>
                          <w:b/>
                          <w:sz w:val="26"/>
                          <w:szCs w:val="26"/>
                        </w:rPr>
                      </w:pPr>
                      <w:r>
                        <w:t xml:space="preserve">  </w:t>
                      </w:r>
                      <w:r w:rsidRPr="00C23CAE">
                        <w:rPr>
                          <w:b/>
                          <w:sz w:val="26"/>
                          <w:szCs w:val="26"/>
                        </w:rPr>
                        <w:t>DỰ THẢO</w:t>
                      </w:r>
                    </w:p>
                  </w:txbxContent>
                </v:textbox>
              </v:rect>
            </w:pict>
          </mc:Fallback>
        </mc:AlternateContent>
      </w:r>
      <w:r w:rsidRPr="00094259">
        <w:rPr>
          <w:b/>
          <w:lang w:val="nl-NL"/>
        </w:rPr>
        <w:tab/>
      </w:r>
    </w:p>
    <w:p w:rsidR="00657E8E" w:rsidRPr="00094259" w:rsidRDefault="00657E8E" w:rsidP="00657E8E">
      <w:pPr>
        <w:jc w:val="center"/>
        <w:rPr>
          <w:b/>
          <w:lang w:val="nl-NL"/>
        </w:rPr>
      </w:pPr>
      <w:r w:rsidRPr="00094259">
        <w:rPr>
          <w:b/>
          <w:lang w:val="nl-NL"/>
        </w:rPr>
        <w:t>QUYẾT ĐỊNH</w:t>
      </w:r>
    </w:p>
    <w:p w:rsidR="00657E8E" w:rsidRPr="00094259" w:rsidRDefault="00657E8E" w:rsidP="00657E8E">
      <w:pPr>
        <w:jc w:val="center"/>
        <w:rPr>
          <w:b/>
          <w:snapToGrid w:val="0"/>
          <w:lang w:val="nl-NL"/>
        </w:rPr>
      </w:pPr>
      <w:r w:rsidRPr="00094259">
        <w:rPr>
          <w:b/>
          <w:snapToGrid w:val="0"/>
          <w:lang w:val="nl-NL"/>
        </w:rPr>
        <w:t>Ban hành Quy định chính sách hỗ trợ đào tạo trình độ sơ cấp,</w:t>
      </w:r>
    </w:p>
    <w:p w:rsidR="00657E8E" w:rsidRPr="00094259" w:rsidRDefault="00657E8E" w:rsidP="00657E8E">
      <w:pPr>
        <w:jc w:val="center"/>
        <w:rPr>
          <w:b/>
          <w:snapToGrid w:val="0"/>
          <w:lang w:val="nl-NL"/>
        </w:rPr>
      </w:pPr>
      <w:r w:rsidRPr="00094259">
        <w:rPr>
          <w:b/>
          <w:snapToGrid w:val="0"/>
          <w:lang w:val="nl-NL"/>
        </w:rPr>
        <w:t xml:space="preserve"> đào tạo dưới 03 tháng trên địa bàn thành phố Đà Nẵng</w:t>
      </w:r>
    </w:p>
    <w:p w:rsidR="00657E8E" w:rsidRPr="00094259" w:rsidRDefault="00657E8E" w:rsidP="00657E8E">
      <w:pPr>
        <w:spacing w:before="480"/>
        <w:jc w:val="center"/>
        <w:rPr>
          <w:b/>
          <w:sz w:val="26"/>
          <w:lang w:val="nl-NL"/>
        </w:rPr>
      </w:pPr>
      <w:r>
        <w:rPr>
          <w:b/>
          <w:noProof/>
          <w:sz w:val="12"/>
          <w:szCs w:val="12"/>
        </w:rPr>
        <mc:AlternateContent>
          <mc:Choice Requires="wps">
            <w:drawing>
              <wp:anchor distT="0" distB="0" distL="114300" distR="114300" simplePos="0" relativeHeight="251659264" behindDoc="0" locked="0" layoutInCell="1" allowOverlap="1">
                <wp:simplePos x="0" y="0"/>
                <wp:positionH relativeFrom="column">
                  <wp:posOffset>2216150</wp:posOffset>
                </wp:positionH>
                <wp:positionV relativeFrom="paragraph">
                  <wp:posOffset>45720</wp:posOffset>
                </wp:positionV>
                <wp:extent cx="1468755" cy="0"/>
                <wp:effectExtent l="10160" t="13335" r="6985"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8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5pt,3.6pt" to="290.1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h1g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"/>
            </w:pict>
          </mc:Fallback>
        </mc:AlternateContent>
      </w:r>
      <w:r w:rsidRPr="00094259">
        <w:rPr>
          <w:b/>
          <w:sz w:val="26"/>
          <w:lang w:val="nl-NL"/>
        </w:rPr>
        <w:t>ỦY BAN NHÂN DÂN THÀNH PHỐ ĐÀ NẴNG</w:t>
      </w:r>
    </w:p>
    <w:p w:rsidR="00657E8E" w:rsidRPr="00094259" w:rsidRDefault="00657E8E" w:rsidP="00657E8E">
      <w:pPr>
        <w:rPr>
          <w:sz w:val="12"/>
          <w:szCs w:val="12"/>
          <w:lang w:val="nl-NL"/>
        </w:rPr>
      </w:pPr>
    </w:p>
    <w:p w:rsidR="00657E8E" w:rsidRPr="00094259" w:rsidRDefault="00657E8E" w:rsidP="00657E8E">
      <w:pPr>
        <w:spacing w:before="120"/>
        <w:ind w:right="-11" w:firstLine="720"/>
        <w:jc w:val="both"/>
        <w:rPr>
          <w:sz w:val="12"/>
          <w:lang w:val="nl-NL"/>
        </w:rPr>
      </w:pPr>
    </w:p>
    <w:p w:rsidR="00657E8E" w:rsidRPr="00094259" w:rsidRDefault="00657E8E" w:rsidP="00657E8E">
      <w:pPr>
        <w:spacing w:before="120" w:after="120"/>
        <w:ind w:right="-11" w:firstLine="567"/>
        <w:jc w:val="both"/>
        <w:rPr>
          <w:i/>
        </w:rPr>
      </w:pPr>
      <w:r w:rsidRPr="00094259">
        <w:rPr>
          <w:i/>
        </w:rPr>
        <w:t>Căn cứ Luật Tổ chức Chính quyền địa phương ngày 19 tháng 6 năm 2015;</w:t>
      </w:r>
    </w:p>
    <w:p w:rsidR="00657E8E" w:rsidRPr="00094259" w:rsidRDefault="00657E8E" w:rsidP="00657E8E">
      <w:pPr>
        <w:spacing w:before="120" w:after="120"/>
        <w:ind w:right="-11" w:firstLine="567"/>
        <w:jc w:val="both"/>
        <w:rPr>
          <w:i/>
        </w:rPr>
      </w:pPr>
      <w:r w:rsidRPr="00094259">
        <w:rPr>
          <w:i/>
        </w:rPr>
        <w:t>Căn cứ</w:t>
      </w:r>
      <w:r w:rsidRPr="00094259">
        <w:rPr>
          <w:i/>
          <w:lang w:val="vi-VN"/>
        </w:rPr>
        <w:t xml:space="preserve"> Luật sửa đổi, bổ sung một số điều của luật tổ chức chính phủ và luật tổ chức chính quyền địa phương ngày 22</w:t>
      </w:r>
      <w:r w:rsidRPr="00094259">
        <w:rPr>
          <w:i/>
        </w:rPr>
        <w:t xml:space="preserve"> tháng </w:t>
      </w:r>
      <w:r w:rsidRPr="00094259">
        <w:rPr>
          <w:i/>
          <w:lang w:val="vi-VN"/>
        </w:rPr>
        <w:t>11</w:t>
      </w:r>
      <w:r w:rsidRPr="00094259">
        <w:rPr>
          <w:i/>
        </w:rPr>
        <w:t xml:space="preserve"> năm </w:t>
      </w:r>
      <w:r w:rsidRPr="00094259">
        <w:rPr>
          <w:i/>
          <w:lang w:val="vi-VN"/>
        </w:rPr>
        <w:t>2019</w:t>
      </w:r>
      <w:r w:rsidRPr="00094259">
        <w:rPr>
          <w:i/>
        </w:rPr>
        <w:t>;</w:t>
      </w:r>
    </w:p>
    <w:p w:rsidR="00657E8E" w:rsidRPr="00D3744E" w:rsidRDefault="00657E8E" w:rsidP="00657E8E">
      <w:pPr>
        <w:spacing w:before="120" w:after="120"/>
        <w:ind w:right="-11" w:firstLine="567"/>
        <w:jc w:val="both"/>
        <w:rPr>
          <w:rFonts w:ascii="Times New Roman Italic" w:hAnsi="Times New Roman Italic"/>
          <w:i/>
          <w:spacing w:val="4"/>
        </w:rPr>
      </w:pPr>
      <w:r w:rsidRPr="00D3744E">
        <w:rPr>
          <w:rFonts w:ascii="Times New Roman Italic" w:hAnsi="Times New Roman Italic"/>
          <w:i/>
          <w:spacing w:val="4"/>
        </w:rPr>
        <w:t>Căn cứ Luật Ban hành văn bản quy phạm pháp luật ngày 22 tháng 6 năm 2015;</w:t>
      </w:r>
    </w:p>
    <w:p w:rsidR="00657E8E" w:rsidRPr="00094259" w:rsidRDefault="00657E8E" w:rsidP="00657E8E">
      <w:pPr>
        <w:spacing w:before="120" w:after="120"/>
        <w:ind w:right="-11" w:firstLine="567"/>
        <w:jc w:val="both"/>
        <w:rPr>
          <w:i/>
          <w:spacing w:val="-4"/>
        </w:rPr>
      </w:pPr>
      <w:r w:rsidRPr="00094259">
        <w:rPr>
          <w:i/>
          <w:spacing w:val="-4"/>
        </w:rPr>
        <w:t>Căn cứ Luật Ngân sách nhà nước ngày 25 tháng 6 năm 2015;</w:t>
      </w:r>
    </w:p>
    <w:p w:rsidR="00657E8E" w:rsidRPr="00094259" w:rsidRDefault="00657E8E" w:rsidP="00657E8E">
      <w:pPr>
        <w:spacing w:before="120" w:after="120"/>
        <w:ind w:right="-11" w:firstLine="567"/>
        <w:jc w:val="both"/>
        <w:rPr>
          <w:i/>
          <w:spacing w:val="4"/>
        </w:rPr>
      </w:pPr>
      <w:r w:rsidRPr="00094259">
        <w:rPr>
          <w:i/>
          <w:spacing w:val="4"/>
        </w:rPr>
        <w:t xml:space="preserve">Căn cứ Luật Giáo dục nghề nghiệp ngày 27 tháng 11 năm 2014; </w:t>
      </w:r>
    </w:p>
    <w:p w:rsidR="00657E8E" w:rsidRPr="00094259" w:rsidRDefault="00657E8E" w:rsidP="00657E8E">
      <w:pPr>
        <w:pStyle w:val="BodyTextIndent3"/>
        <w:spacing w:before="120"/>
        <w:ind w:left="0" w:firstLine="567"/>
        <w:jc w:val="both"/>
        <w:rPr>
          <w:i/>
          <w:sz w:val="28"/>
          <w:szCs w:val="28"/>
        </w:rPr>
      </w:pPr>
      <w:r w:rsidRPr="00094259">
        <w:rPr>
          <w:i/>
          <w:sz w:val="28"/>
          <w:szCs w:val="28"/>
        </w:rPr>
        <w:t>Căn cứ Quyết định số 46/2015/QĐ-TTg ngày 28 tháng 9 năm 2015 của Thủ tướng Chính phủ quy định chính sách hỗ trợ đào tạo trình độ sơ cấp, đào tạo dưới 03 tháng;</w:t>
      </w:r>
    </w:p>
    <w:p w:rsidR="00657E8E" w:rsidRPr="00094259" w:rsidRDefault="00657E8E" w:rsidP="00657E8E">
      <w:pPr>
        <w:pStyle w:val="BodyTextIndent3"/>
        <w:spacing w:before="120"/>
        <w:ind w:left="0" w:firstLine="567"/>
        <w:jc w:val="both"/>
        <w:rPr>
          <w:i/>
          <w:sz w:val="28"/>
          <w:szCs w:val="28"/>
        </w:rPr>
      </w:pPr>
      <w:r w:rsidRPr="00094259">
        <w:rPr>
          <w:i/>
          <w:sz w:val="28"/>
          <w:szCs w:val="28"/>
        </w:rPr>
        <w:t>Căn cứ Quyết định số 63/2015/QĐ-TTg ngày 10 tháng 12 năm 2015 của Thủ tướng Chính phủ về chính sách hỗ trợ đào tạo nghề và giải quyết việc làm cho người lao động bị thu hồi đất;</w:t>
      </w:r>
    </w:p>
    <w:p w:rsidR="00657E8E" w:rsidRPr="00094259" w:rsidRDefault="00657E8E" w:rsidP="00657E8E">
      <w:pPr>
        <w:spacing w:before="120" w:after="120"/>
        <w:ind w:right="-11" w:firstLine="567"/>
        <w:jc w:val="both"/>
        <w:rPr>
          <w:i/>
        </w:rPr>
      </w:pPr>
      <w:r w:rsidRPr="00094259">
        <w:rPr>
          <w:i/>
        </w:rPr>
        <w:t>Căn cứ Nghị định số 15/2019/NĐ-CP ngày 01 tháng 02 năm 2019 của Chính phủ quy định chi tiết một số điều và biện pháp thi hành Luật Giáo dục nghề nghiệp;</w:t>
      </w:r>
    </w:p>
    <w:p w:rsidR="00657E8E" w:rsidRPr="00D3744E" w:rsidRDefault="00657E8E" w:rsidP="00657E8E">
      <w:pPr>
        <w:pStyle w:val="BodyTextIndent3"/>
        <w:spacing w:before="120"/>
        <w:ind w:left="0" w:firstLine="567"/>
        <w:jc w:val="both"/>
        <w:rPr>
          <w:rFonts w:ascii="Times New Roman Italic" w:hAnsi="Times New Roman Italic"/>
          <w:i/>
          <w:sz w:val="28"/>
          <w:szCs w:val="28"/>
        </w:rPr>
      </w:pPr>
      <w:r w:rsidRPr="00D3744E">
        <w:rPr>
          <w:rFonts w:ascii="Times New Roman Italic" w:hAnsi="Times New Roman Italic"/>
          <w:i/>
          <w:sz w:val="28"/>
          <w:szCs w:val="28"/>
        </w:rPr>
        <w:t>Căn cứ Nghị định số 49/2020/NĐ-CP ngày 17 tháng 4 năm 2020 của Chính phủ về Quy định chi tiết thi hành Luật Thi hành án hình sự về tái hòa nhập cộng đồng;</w:t>
      </w:r>
    </w:p>
    <w:p w:rsidR="00D3744E" w:rsidRPr="00D3744E" w:rsidRDefault="00D3744E" w:rsidP="00657E8E">
      <w:pPr>
        <w:pStyle w:val="BodyTextIndent3"/>
        <w:spacing w:before="120"/>
        <w:ind w:left="0" w:firstLine="567"/>
        <w:jc w:val="both"/>
        <w:rPr>
          <w:rFonts w:ascii="Times New Roman Italic" w:hAnsi="Times New Roman Italic"/>
          <w:i/>
          <w:sz w:val="28"/>
          <w:szCs w:val="28"/>
        </w:rPr>
      </w:pPr>
      <w:r w:rsidRPr="00D3744E">
        <w:rPr>
          <w:rFonts w:ascii="Times New Roman Italic" w:hAnsi="Times New Roman Italic"/>
          <w:i/>
          <w:sz w:val="28"/>
          <w:szCs w:val="28"/>
        </w:rPr>
        <w:t>Căn cứ Quyết định số 17/2021/QĐ-TTg ngày 31</w:t>
      </w:r>
      <w:r w:rsidR="000E5B9B">
        <w:rPr>
          <w:rFonts w:ascii="Times New Roman Italic" w:hAnsi="Times New Roman Italic"/>
          <w:i/>
          <w:sz w:val="28"/>
          <w:szCs w:val="28"/>
        </w:rPr>
        <w:t xml:space="preserve"> </w:t>
      </w:r>
      <w:r w:rsidR="000E5B9B" w:rsidRPr="00D3744E">
        <w:rPr>
          <w:rFonts w:ascii="Times New Roman Italic" w:hAnsi="Times New Roman Italic"/>
          <w:i/>
          <w:sz w:val="28"/>
          <w:szCs w:val="28"/>
        </w:rPr>
        <w:t>tháng</w:t>
      </w:r>
      <w:r w:rsidR="000E5B9B">
        <w:rPr>
          <w:rFonts w:ascii="Times New Roman Italic" w:hAnsi="Times New Roman Italic"/>
          <w:i/>
          <w:sz w:val="28"/>
          <w:szCs w:val="28"/>
        </w:rPr>
        <w:t xml:space="preserve"> </w:t>
      </w:r>
      <w:r w:rsidRPr="00D3744E">
        <w:rPr>
          <w:rFonts w:ascii="Times New Roman Italic" w:hAnsi="Times New Roman Italic"/>
          <w:i/>
          <w:sz w:val="28"/>
          <w:szCs w:val="28"/>
        </w:rPr>
        <w:t>3</w:t>
      </w:r>
      <w:r w:rsidR="000E5B9B">
        <w:rPr>
          <w:rFonts w:ascii="Times New Roman Italic" w:hAnsi="Times New Roman Italic"/>
          <w:i/>
          <w:sz w:val="28"/>
          <w:szCs w:val="28"/>
        </w:rPr>
        <w:t xml:space="preserve"> năm </w:t>
      </w:r>
      <w:r w:rsidRPr="00D3744E">
        <w:rPr>
          <w:rFonts w:ascii="Times New Roman Italic" w:hAnsi="Times New Roman Italic"/>
          <w:i/>
          <w:sz w:val="28"/>
          <w:szCs w:val="28"/>
        </w:rPr>
        <w:t>2021 của Thủ tướng Chính phủ quy định mức hỗ trợ học nghề đối với người lao động tham gia bảo hiểm thất nghiệp;</w:t>
      </w:r>
    </w:p>
    <w:p w:rsidR="00657E8E" w:rsidRPr="00094259" w:rsidRDefault="00657E8E" w:rsidP="00657E8E">
      <w:pPr>
        <w:pStyle w:val="BodyTextIndent3"/>
        <w:spacing w:before="120"/>
        <w:ind w:left="0" w:firstLine="567"/>
        <w:jc w:val="both"/>
        <w:rPr>
          <w:i/>
          <w:sz w:val="28"/>
          <w:szCs w:val="28"/>
        </w:rPr>
      </w:pPr>
      <w:r w:rsidRPr="00094259">
        <w:rPr>
          <w:i/>
          <w:sz w:val="28"/>
          <w:szCs w:val="28"/>
        </w:rPr>
        <w:t>Căn cứ Thông tư số 152/2016/TT-BTC ngày 17</w:t>
      </w:r>
      <w:r w:rsidR="000E5B9B">
        <w:rPr>
          <w:i/>
          <w:sz w:val="28"/>
          <w:szCs w:val="28"/>
        </w:rPr>
        <w:t xml:space="preserve"> </w:t>
      </w:r>
      <w:r w:rsidR="000E5B9B" w:rsidRPr="00D3744E">
        <w:rPr>
          <w:rFonts w:ascii="Times New Roman Italic" w:hAnsi="Times New Roman Italic"/>
          <w:i/>
          <w:sz w:val="28"/>
          <w:szCs w:val="28"/>
        </w:rPr>
        <w:t>tháng</w:t>
      </w:r>
      <w:r w:rsidR="000E5B9B" w:rsidRPr="00094259">
        <w:rPr>
          <w:i/>
          <w:sz w:val="28"/>
          <w:szCs w:val="28"/>
        </w:rPr>
        <w:t xml:space="preserve"> </w:t>
      </w:r>
      <w:r w:rsidRPr="00094259">
        <w:rPr>
          <w:i/>
          <w:sz w:val="28"/>
          <w:szCs w:val="28"/>
        </w:rPr>
        <w:t>10</w:t>
      </w:r>
      <w:r w:rsidR="000E5B9B">
        <w:rPr>
          <w:i/>
          <w:sz w:val="28"/>
          <w:szCs w:val="28"/>
        </w:rPr>
        <w:t xml:space="preserve"> năm </w:t>
      </w:r>
      <w:r w:rsidRPr="00094259">
        <w:rPr>
          <w:i/>
          <w:sz w:val="28"/>
          <w:szCs w:val="28"/>
        </w:rPr>
        <w:t>2016 của Bộ trưởng Bộ Tài chính quy định quản lý và sử dụng kinh phí hỗ trợ đào tạo trình độ sơ cấp và đào tạo dưới 3 tháng;</w:t>
      </w:r>
    </w:p>
    <w:p w:rsidR="00657E8E" w:rsidRPr="00094259" w:rsidRDefault="00657E8E" w:rsidP="00657E8E">
      <w:pPr>
        <w:pStyle w:val="BodyTextIndent3"/>
        <w:spacing w:before="120"/>
        <w:ind w:left="0" w:firstLine="567"/>
        <w:jc w:val="both"/>
        <w:rPr>
          <w:i/>
          <w:sz w:val="28"/>
          <w:szCs w:val="28"/>
        </w:rPr>
      </w:pPr>
      <w:r w:rsidRPr="00094259">
        <w:rPr>
          <w:i/>
          <w:sz w:val="28"/>
          <w:szCs w:val="28"/>
        </w:rPr>
        <w:t>Căn cứ Thông tư số 40/2019/TT-BTC ngày 28</w:t>
      </w:r>
      <w:r w:rsidR="000E5B9B">
        <w:rPr>
          <w:i/>
          <w:sz w:val="28"/>
          <w:szCs w:val="28"/>
        </w:rPr>
        <w:t xml:space="preserve"> </w:t>
      </w:r>
      <w:r w:rsidR="000E5B9B" w:rsidRPr="00D3744E">
        <w:rPr>
          <w:rFonts w:ascii="Times New Roman Italic" w:hAnsi="Times New Roman Italic"/>
          <w:i/>
          <w:sz w:val="28"/>
          <w:szCs w:val="28"/>
        </w:rPr>
        <w:t>tháng</w:t>
      </w:r>
      <w:r w:rsidR="000E5B9B" w:rsidRPr="00094259">
        <w:rPr>
          <w:i/>
          <w:sz w:val="28"/>
          <w:szCs w:val="28"/>
        </w:rPr>
        <w:t xml:space="preserve"> </w:t>
      </w:r>
      <w:r w:rsidRPr="00094259">
        <w:rPr>
          <w:i/>
          <w:sz w:val="28"/>
          <w:szCs w:val="28"/>
        </w:rPr>
        <w:t>6</w:t>
      </w:r>
      <w:r w:rsidR="000E5B9B">
        <w:rPr>
          <w:i/>
          <w:sz w:val="28"/>
          <w:szCs w:val="28"/>
        </w:rPr>
        <w:t xml:space="preserve"> năm </w:t>
      </w:r>
      <w:r w:rsidRPr="00094259">
        <w:rPr>
          <w:i/>
          <w:sz w:val="28"/>
          <w:szCs w:val="28"/>
        </w:rPr>
        <w:t xml:space="preserve">2019 của Bộ trưởng Bộ Tài chính về việc sửa đổi, bổ sung một số Điều của Thông tư số </w:t>
      </w:r>
      <w:r w:rsidRPr="00094259">
        <w:rPr>
          <w:i/>
          <w:sz w:val="28"/>
          <w:szCs w:val="28"/>
        </w:rPr>
        <w:lastRenderedPageBreak/>
        <w:t>152/2016/TT-BTC ngày 17/10/2016 của Bộ trưởng Bộ Tài chính quy định quản lý và sử dụng kinh phí hỗ trợ đào tạo trình độ sơ cấp và đào tạo dưới 3 tháng;</w:t>
      </w:r>
    </w:p>
    <w:p w:rsidR="00657E8E" w:rsidRPr="00094259" w:rsidRDefault="00657E8E" w:rsidP="00657E8E">
      <w:pPr>
        <w:spacing w:before="120" w:after="120"/>
        <w:ind w:right="-11" w:firstLine="567"/>
        <w:jc w:val="both"/>
        <w:rPr>
          <w:lang w:val="nl-NL"/>
        </w:rPr>
      </w:pPr>
      <w:r w:rsidRPr="00094259">
        <w:rPr>
          <w:i/>
          <w:lang w:val="nl-NL"/>
        </w:rPr>
        <w:t>Theo đề nghị của Giám đốc Sở Lao động - Thương binh và Xã hội.</w:t>
      </w:r>
    </w:p>
    <w:p w:rsidR="00657E8E" w:rsidRPr="00094259" w:rsidRDefault="00657E8E" w:rsidP="00657E8E">
      <w:pPr>
        <w:spacing w:before="120" w:after="120"/>
        <w:ind w:right="-11" w:firstLine="567"/>
        <w:jc w:val="center"/>
        <w:rPr>
          <w:b/>
          <w:lang w:val="nl-NL"/>
        </w:rPr>
      </w:pPr>
      <w:r w:rsidRPr="00094259">
        <w:rPr>
          <w:b/>
          <w:lang w:val="nl-NL"/>
        </w:rPr>
        <w:t>QUYẾT ĐỊNH:</w:t>
      </w:r>
    </w:p>
    <w:p w:rsidR="00657E8E" w:rsidRPr="00094259" w:rsidRDefault="00657E8E" w:rsidP="00657E8E">
      <w:pPr>
        <w:spacing w:before="120" w:after="120"/>
        <w:ind w:firstLine="567"/>
        <w:jc w:val="both"/>
        <w:rPr>
          <w:snapToGrid w:val="0"/>
          <w:lang w:val="nl-NL"/>
        </w:rPr>
      </w:pPr>
      <w:r w:rsidRPr="00094259">
        <w:rPr>
          <w:b/>
          <w:snapToGrid w:val="0"/>
          <w:lang w:val="nl-NL"/>
        </w:rPr>
        <w:t xml:space="preserve">Điều 1. </w:t>
      </w:r>
      <w:r w:rsidRPr="00094259">
        <w:rPr>
          <w:snapToGrid w:val="0"/>
          <w:lang w:val="nl-NL"/>
        </w:rPr>
        <w:t>Ban hành</w:t>
      </w:r>
      <w:r w:rsidR="007F78EF">
        <w:rPr>
          <w:snapToGrid w:val="0"/>
          <w:lang w:val="nl-NL"/>
        </w:rPr>
        <w:t xml:space="preserve"> kèm theo Quyết định này</w:t>
      </w:r>
      <w:r w:rsidRPr="00094259">
        <w:rPr>
          <w:snapToGrid w:val="0"/>
          <w:lang w:val="nl-NL"/>
        </w:rPr>
        <w:t xml:space="preserve"> Quy định chính sách hỗ trợ đào tạo trình độ sơ cấp, đào tạo dưới 03 tháng trên địa bàn thành phố Đà Nẵng.</w:t>
      </w:r>
    </w:p>
    <w:p w:rsidR="00657E8E" w:rsidRPr="00094259" w:rsidRDefault="00657E8E" w:rsidP="00657E8E">
      <w:pPr>
        <w:spacing w:before="120" w:after="120"/>
        <w:ind w:right="-11" w:firstLine="567"/>
        <w:jc w:val="both"/>
        <w:rPr>
          <w:snapToGrid w:val="0"/>
          <w:lang w:val="nl-NL"/>
        </w:rPr>
      </w:pPr>
      <w:r w:rsidRPr="00094259">
        <w:rPr>
          <w:b/>
          <w:snapToGrid w:val="0"/>
          <w:lang w:val="nl-NL"/>
        </w:rPr>
        <w:t xml:space="preserve">Điều 2. </w:t>
      </w:r>
      <w:r w:rsidRPr="00094259">
        <w:rPr>
          <w:snapToGrid w:val="0"/>
          <w:lang w:val="nl-NL"/>
        </w:rPr>
        <w:t>Giám đốc Sở Lao động - Thương binh và Xã hội chịu trách nhiệm tổ chức triển khai, hướng dẫn, kiểm tra việc thực hiện Quy định nêu trên.</w:t>
      </w:r>
    </w:p>
    <w:p w:rsidR="00657E8E" w:rsidRPr="00094259" w:rsidRDefault="00657E8E" w:rsidP="00657E8E">
      <w:pPr>
        <w:spacing w:before="120" w:after="120"/>
        <w:ind w:right="-11" w:firstLine="567"/>
        <w:jc w:val="both"/>
        <w:rPr>
          <w:snapToGrid w:val="0"/>
          <w:lang w:val="nl-NL"/>
        </w:rPr>
      </w:pPr>
      <w:r w:rsidRPr="00094259">
        <w:rPr>
          <w:b/>
          <w:snapToGrid w:val="0"/>
          <w:lang w:val="nl-NL"/>
        </w:rPr>
        <w:t>Điều 3.</w:t>
      </w:r>
      <w:r w:rsidRPr="00094259">
        <w:rPr>
          <w:snapToGrid w:val="0"/>
          <w:lang w:val="nl-NL"/>
        </w:rPr>
        <w:t xml:space="preserve"> Quyết định này có hiệu lực thi hành kể từ ngày... tháng... năm.... và bãi bỏ các Quyết định số 31/2016/QĐ-UBND ngày 10 tháng 10 năm 2016 của UBND thành phố về Quy định chính sách hỗ trợ học nghề đối với lao động thuộc diện chính sách, xã hội trên địa bàn thành phố Đà Nẵng; Quyết định số 27/2017/QĐ-UBND ngày 14 tháng 8 năm 2017 về bổ sung một số điều của Quy định chính sách hỗ trợ học nghề đối với lao động thuộc diện chính sách, xã hội trên địa bàn thành phố Đà Nẵng ban hành kèm theo Quyết định số 31/2016/QĐ-UBND ngày 10/10/2016 của UBND thành phố.</w:t>
      </w:r>
    </w:p>
    <w:p w:rsidR="00657E8E" w:rsidRPr="00094259" w:rsidRDefault="00657E8E" w:rsidP="00657E8E">
      <w:pPr>
        <w:spacing w:before="120" w:after="120"/>
        <w:ind w:firstLine="567"/>
        <w:jc w:val="both"/>
        <w:rPr>
          <w:lang w:val="nl-NL"/>
        </w:rPr>
      </w:pPr>
      <w:r w:rsidRPr="00094259">
        <w:rPr>
          <w:b/>
          <w:snapToGrid w:val="0"/>
          <w:lang w:val="nl-NL"/>
        </w:rPr>
        <w:t xml:space="preserve">Điều 4. </w:t>
      </w:r>
      <w:r w:rsidRPr="00094259">
        <w:rPr>
          <w:lang w:val="nl-NL"/>
        </w:rPr>
        <w:t>Chánh Văn phòng UBND thành phố, Giám đốc Sở Lao động - Thương binh và Xã hội, Thủ trưởng các cơ quan chuyên môn thuộc UBND thành phố, Chủ tịch UBND các quận, huyện, phường, xã, cơ quan, đơn vị, tổ chức, cá nhân có liên quan chịu trách nhiệm thi hành Quyết định này./.</w:t>
      </w:r>
    </w:p>
    <w:p w:rsidR="00657E8E" w:rsidRPr="0022065A" w:rsidRDefault="00657E8E" w:rsidP="00657E8E">
      <w:pPr>
        <w:spacing w:before="120" w:after="120"/>
        <w:ind w:firstLine="720"/>
        <w:jc w:val="both"/>
        <w:rPr>
          <w:sz w:val="10"/>
          <w:lang w:val="nl-NL"/>
        </w:rPr>
      </w:pPr>
    </w:p>
    <w:tbl>
      <w:tblPr>
        <w:tblW w:w="0" w:type="auto"/>
        <w:tblLook w:val="04A0" w:firstRow="1" w:lastRow="0" w:firstColumn="1" w:lastColumn="0" w:noHBand="0" w:noVBand="1"/>
      </w:tblPr>
      <w:tblGrid>
        <w:gridCol w:w="4644"/>
        <w:gridCol w:w="4644"/>
      </w:tblGrid>
      <w:tr w:rsidR="00657E8E" w:rsidRPr="00094259" w:rsidTr="00484C92">
        <w:tc>
          <w:tcPr>
            <w:tcW w:w="4644" w:type="dxa"/>
            <w:shd w:val="clear" w:color="auto" w:fill="auto"/>
          </w:tcPr>
          <w:p w:rsidR="00657E8E" w:rsidRPr="00094259" w:rsidRDefault="00657E8E" w:rsidP="00484C92">
            <w:pPr>
              <w:tabs>
                <w:tab w:val="center" w:pos="6480"/>
              </w:tabs>
              <w:jc w:val="both"/>
              <w:rPr>
                <w:b/>
                <w:i/>
                <w:sz w:val="24"/>
                <w:lang w:val="nl-NL"/>
              </w:rPr>
            </w:pPr>
            <w:r w:rsidRPr="00094259">
              <w:rPr>
                <w:b/>
                <w:i/>
                <w:sz w:val="24"/>
                <w:lang w:val="nl-NL"/>
              </w:rPr>
              <w:t>Nơi nhận:</w:t>
            </w:r>
          </w:p>
          <w:p w:rsidR="00657E8E" w:rsidRPr="00094259" w:rsidRDefault="00657E8E" w:rsidP="00484C92">
            <w:pPr>
              <w:tabs>
                <w:tab w:val="center" w:pos="6480"/>
              </w:tabs>
              <w:jc w:val="both"/>
              <w:rPr>
                <w:b/>
                <w:i/>
                <w:sz w:val="24"/>
                <w:lang w:val="nl-NL"/>
              </w:rPr>
            </w:pPr>
            <w:r w:rsidRPr="00094259">
              <w:rPr>
                <w:sz w:val="22"/>
                <w:lang w:val="nl-NL"/>
              </w:rPr>
              <w:t>- Văn phòng Chính phủ;</w:t>
            </w:r>
          </w:p>
          <w:p w:rsidR="00657E8E" w:rsidRPr="00094259" w:rsidRDefault="00657E8E" w:rsidP="00484C92">
            <w:pPr>
              <w:tabs>
                <w:tab w:val="center" w:pos="6480"/>
              </w:tabs>
              <w:jc w:val="both"/>
              <w:rPr>
                <w:sz w:val="22"/>
                <w:lang w:val="nl-NL"/>
              </w:rPr>
            </w:pPr>
            <w:r w:rsidRPr="00094259">
              <w:rPr>
                <w:sz w:val="22"/>
                <w:lang w:val="nl-NL"/>
              </w:rPr>
              <w:t>- Bộ LĐ-TB&amp;XH; Bộ Tài chính;</w:t>
            </w:r>
          </w:p>
          <w:p w:rsidR="00657E8E" w:rsidRPr="00094259" w:rsidRDefault="00657E8E" w:rsidP="00484C92">
            <w:pPr>
              <w:tabs>
                <w:tab w:val="center" w:pos="6480"/>
              </w:tabs>
              <w:jc w:val="both"/>
              <w:rPr>
                <w:sz w:val="22"/>
                <w:lang w:val="nl-NL"/>
              </w:rPr>
            </w:pPr>
            <w:r w:rsidRPr="00094259">
              <w:rPr>
                <w:sz w:val="22"/>
                <w:lang w:val="nl-NL"/>
              </w:rPr>
              <w:t>- Cục kiểm tra VBQPPL - Bộ Tư pháp;</w:t>
            </w:r>
          </w:p>
          <w:p w:rsidR="00657E8E" w:rsidRPr="00094259" w:rsidRDefault="00657E8E" w:rsidP="00484C92">
            <w:pPr>
              <w:tabs>
                <w:tab w:val="center" w:pos="6480"/>
              </w:tabs>
              <w:jc w:val="both"/>
              <w:rPr>
                <w:sz w:val="22"/>
                <w:lang w:val="nl-NL"/>
              </w:rPr>
            </w:pPr>
            <w:r w:rsidRPr="00094259">
              <w:rPr>
                <w:sz w:val="22"/>
                <w:lang w:val="nl-NL"/>
              </w:rPr>
              <w:t>- TTTU, HĐND thành phố;</w:t>
            </w:r>
          </w:p>
          <w:p w:rsidR="00657E8E" w:rsidRPr="00094259" w:rsidRDefault="00657E8E" w:rsidP="00484C92">
            <w:pPr>
              <w:tabs>
                <w:tab w:val="center" w:pos="6480"/>
              </w:tabs>
              <w:jc w:val="both"/>
              <w:rPr>
                <w:sz w:val="22"/>
                <w:lang w:val="nl-NL"/>
              </w:rPr>
            </w:pPr>
            <w:r w:rsidRPr="00094259">
              <w:rPr>
                <w:sz w:val="22"/>
                <w:lang w:val="nl-NL"/>
              </w:rPr>
              <w:t>- Chủ tịch, các Phó Chủ tịch UBND TP;</w:t>
            </w:r>
          </w:p>
          <w:p w:rsidR="00657E8E" w:rsidRPr="00094259" w:rsidRDefault="00657E8E" w:rsidP="00484C92">
            <w:pPr>
              <w:tabs>
                <w:tab w:val="center" w:pos="6480"/>
              </w:tabs>
              <w:jc w:val="both"/>
              <w:rPr>
                <w:sz w:val="22"/>
                <w:lang w:val="nl-NL"/>
              </w:rPr>
            </w:pPr>
            <w:r w:rsidRPr="00094259">
              <w:rPr>
                <w:sz w:val="22"/>
                <w:lang w:val="nl-NL"/>
              </w:rPr>
              <w:t>- Đoàn ĐBQH thành phố;</w:t>
            </w:r>
          </w:p>
          <w:p w:rsidR="00657E8E" w:rsidRPr="00094259" w:rsidRDefault="00657E8E" w:rsidP="00484C92">
            <w:pPr>
              <w:tabs>
                <w:tab w:val="center" w:pos="6480"/>
              </w:tabs>
              <w:jc w:val="both"/>
              <w:rPr>
                <w:sz w:val="22"/>
                <w:lang w:val="nl-NL"/>
              </w:rPr>
            </w:pPr>
            <w:r w:rsidRPr="00094259">
              <w:rPr>
                <w:sz w:val="22"/>
                <w:lang w:val="nl-NL"/>
              </w:rPr>
              <w:t>- UBMTTQ Việt Nam thành phố;</w:t>
            </w:r>
          </w:p>
          <w:p w:rsidR="00657E8E" w:rsidRPr="00094259" w:rsidRDefault="00657E8E" w:rsidP="00484C92">
            <w:pPr>
              <w:tabs>
                <w:tab w:val="center" w:pos="6480"/>
              </w:tabs>
              <w:jc w:val="both"/>
              <w:rPr>
                <w:sz w:val="22"/>
                <w:lang w:val="nl-NL"/>
              </w:rPr>
            </w:pPr>
            <w:r w:rsidRPr="00094259">
              <w:rPr>
                <w:sz w:val="22"/>
                <w:lang w:val="nl-NL"/>
              </w:rPr>
              <w:t>- Các sở, ban, ngành, đoàn thể thành phố;</w:t>
            </w:r>
          </w:p>
          <w:p w:rsidR="00657E8E" w:rsidRPr="00094259" w:rsidRDefault="00657E8E" w:rsidP="00484C92">
            <w:pPr>
              <w:tabs>
                <w:tab w:val="center" w:pos="6480"/>
              </w:tabs>
              <w:jc w:val="both"/>
              <w:rPr>
                <w:sz w:val="22"/>
              </w:rPr>
            </w:pPr>
            <w:r w:rsidRPr="00094259">
              <w:rPr>
                <w:sz w:val="22"/>
              </w:rPr>
              <w:t>- UBND các quận, huyện; xã, phường;</w:t>
            </w:r>
          </w:p>
          <w:p w:rsidR="00657E8E" w:rsidRPr="00094259" w:rsidRDefault="00657E8E" w:rsidP="00484C92">
            <w:pPr>
              <w:tabs>
                <w:tab w:val="center" w:pos="6480"/>
              </w:tabs>
              <w:jc w:val="both"/>
              <w:rPr>
                <w:sz w:val="22"/>
              </w:rPr>
            </w:pPr>
            <w:r w:rsidRPr="00094259">
              <w:rPr>
                <w:sz w:val="22"/>
              </w:rPr>
              <w:t>- Đài PTTH ĐN; Báo Đà Nẵng;</w:t>
            </w:r>
          </w:p>
          <w:p w:rsidR="00657E8E" w:rsidRPr="00094259" w:rsidRDefault="00657E8E" w:rsidP="00484C92">
            <w:pPr>
              <w:tabs>
                <w:tab w:val="center" w:pos="6480"/>
              </w:tabs>
              <w:jc w:val="both"/>
              <w:rPr>
                <w:sz w:val="22"/>
              </w:rPr>
            </w:pPr>
            <w:r w:rsidRPr="00094259">
              <w:rPr>
                <w:sz w:val="22"/>
              </w:rPr>
              <w:t>- Cổng thông tin điện tử TP;</w:t>
            </w:r>
          </w:p>
          <w:p w:rsidR="00657E8E" w:rsidRPr="00094259" w:rsidRDefault="00657E8E" w:rsidP="00484C92">
            <w:pPr>
              <w:tabs>
                <w:tab w:val="center" w:pos="6480"/>
              </w:tabs>
              <w:jc w:val="both"/>
              <w:rPr>
                <w:sz w:val="22"/>
              </w:rPr>
            </w:pPr>
            <w:r w:rsidRPr="00094259">
              <w:rPr>
                <w:sz w:val="22"/>
              </w:rPr>
              <w:t>- Lưu VT, SLĐTBXH.</w:t>
            </w:r>
          </w:p>
          <w:p w:rsidR="00657E8E" w:rsidRPr="00094259" w:rsidRDefault="00657E8E" w:rsidP="00484C92">
            <w:pPr>
              <w:jc w:val="both"/>
              <w:rPr>
                <w:lang w:val="nl-NL"/>
              </w:rPr>
            </w:pPr>
          </w:p>
        </w:tc>
        <w:tc>
          <w:tcPr>
            <w:tcW w:w="4644" w:type="dxa"/>
            <w:shd w:val="clear" w:color="auto" w:fill="auto"/>
          </w:tcPr>
          <w:p w:rsidR="00657E8E" w:rsidRPr="00094259" w:rsidRDefault="00657E8E" w:rsidP="00484C92">
            <w:pPr>
              <w:jc w:val="center"/>
              <w:rPr>
                <w:b/>
                <w:lang w:val="vi-VN"/>
              </w:rPr>
            </w:pPr>
            <w:r w:rsidRPr="00094259">
              <w:rPr>
                <w:b/>
                <w:lang w:val="vi-VN"/>
              </w:rPr>
              <w:t>TM. ỦY BAN NHÂN DÂN</w:t>
            </w:r>
          </w:p>
          <w:p w:rsidR="00657E8E" w:rsidRPr="00094259" w:rsidRDefault="00657E8E" w:rsidP="00484C92">
            <w:pPr>
              <w:jc w:val="center"/>
              <w:rPr>
                <w:b/>
                <w:lang w:val="vi-VN"/>
              </w:rPr>
            </w:pPr>
            <w:r w:rsidRPr="00094259">
              <w:rPr>
                <w:b/>
                <w:lang w:val="vi-VN"/>
              </w:rPr>
              <w:t>CHỦ TỊCH</w:t>
            </w:r>
          </w:p>
          <w:p w:rsidR="00657E8E" w:rsidRPr="00094259" w:rsidRDefault="00657E8E" w:rsidP="00484C92">
            <w:pPr>
              <w:jc w:val="center"/>
              <w:rPr>
                <w:b/>
                <w:lang w:val="vi-VN"/>
              </w:rPr>
            </w:pPr>
          </w:p>
          <w:p w:rsidR="00657E8E" w:rsidRPr="00094259" w:rsidRDefault="00657E8E" w:rsidP="00484C92">
            <w:pPr>
              <w:jc w:val="center"/>
              <w:rPr>
                <w:b/>
                <w:lang w:val="vi-VN"/>
              </w:rPr>
            </w:pPr>
          </w:p>
          <w:p w:rsidR="00657E8E" w:rsidRPr="00094259" w:rsidRDefault="00657E8E" w:rsidP="00484C92">
            <w:pPr>
              <w:jc w:val="center"/>
              <w:rPr>
                <w:b/>
                <w:lang w:val="vi-VN"/>
              </w:rPr>
            </w:pPr>
          </w:p>
          <w:p w:rsidR="00657E8E" w:rsidRPr="00094259" w:rsidRDefault="00657E8E" w:rsidP="00484C92">
            <w:pPr>
              <w:jc w:val="center"/>
              <w:rPr>
                <w:b/>
              </w:rPr>
            </w:pPr>
          </w:p>
          <w:p w:rsidR="00657E8E" w:rsidRPr="00094259" w:rsidRDefault="00657E8E" w:rsidP="00484C92">
            <w:pPr>
              <w:jc w:val="center"/>
              <w:rPr>
                <w:b/>
              </w:rPr>
            </w:pPr>
          </w:p>
          <w:p w:rsidR="00657E8E" w:rsidRPr="00094259" w:rsidRDefault="00657E8E" w:rsidP="00484C92">
            <w:pPr>
              <w:jc w:val="center"/>
              <w:rPr>
                <w:b/>
              </w:rPr>
            </w:pPr>
          </w:p>
          <w:p w:rsidR="00657E8E" w:rsidRPr="00094259" w:rsidRDefault="00657E8E" w:rsidP="00484C92">
            <w:pPr>
              <w:jc w:val="center"/>
              <w:rPr>
                <w:lang w:val="nl-NL"/>
              </w:rPr>
            </w:pPr>
            <w:r w:rsidRPr="00094259">
              <w:rPr>
                <w:b/>
              </w:rPr>
              <w:t>Lê Trung Chinh</w:t>
            </w:r>
          </w:p>
        </w:tc>
      </w:tr>
    </w:tbl>
    <w:p w:rsidR="00657E8E" w:rsidRPr="00094259" w:rsidRDefault="00657E8E" w:rsidP="00657E8E"/>
    <w:sectPr w:rsidR="00657E8E" w:rsidRPr="00094259" w:rsidSect="00B672A0">
      <w:headerReference w:type="default" r:id="rId7"/>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351" w:rsidRDefault="00F97351" w:rsidP="00657E8E">
      <w:r>
        <w:separator/>
      </w:r>
    </w:p>
  </w:endnote>
  <w:endnote w:type="continuationSeparator" w:id="0">
    <w:p w:rsidR="00F97351" w:rsidRDefault="00F97351" w:rsidP="00657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Italic">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351" w:rsidRDefault="00F97351" w:rsidP="00657E8E">
      <w:r>
        <w:separator/>
      </w:r>
    </w:p>
  </w:footnote>
  <w:footnote w:type="continuationSeparator" w:id="0">
    <w:p w:rsidR="00F97351" w:rsidRDefault="00F97351" w:rsidP="00657E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010220"/>
      <w:docPartObj>
        <w:docPartGallery w:val="Page Numbers (Top of Page)"/>
        <w:docPartUnique/>
      </w:docPartObj>
    </w:sdtPr>
    <w:sdtEndPr>
      <w:rPr>
        <w:noProof/>
      </w:rPr>
    </w:sdtEndPr>
    <w:sdtContent>
      <w:p w:rsidR="00657E8E" w:rsidRDefault="00657E8E">
        <w:pPr>
          <w:pStyle w:val="Header"/>
          <w:jc w:val="center"/>
        </w:pPr>
        <w:r>
          <w:fldChar w:fldCharType="begin"/>
        </w:r>
        <w:r>
          <w:instrText xml:space="preserve"> PAGE   \* MERGEFORMAT </w:instrText>
        </w:r>
        <w:r>
          <w:fldChar w:fldCharType="separate"/>
        </w:r>
        <w:r w:rsidR="006D63FC">
          <w:rPr>
            <w:noProof/>
          </w:rPr>
          <w:t>2</w:t>
        </w:r>
        <w:r>
          <w:rPr>
            <w:noProof/>
          </w:rPr>
          <w:fldChar w:fldCharType="end"/>
        </w:r>
      </w:p>
    </w:sdtContent>
  </w:sdt>
  <w:p w:rsidR="00657E8E" w:rsidRDefault="00657E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E8E"/>
    <w:rsid w:val="000E5B9B"/>
    <w:rsid w:val="002255A2"/>
    <w:rsid w:val="00260F61"/>
    <w:rsid w:val="00412079"/>
    <w:rsid w:val="004A70B8"/>
    <w:rsid w:val="005838AD"/>
    <w:rsid w:val="005C5294"/>
    <w:rsid w:val="00657E8E"/>
    <w:rsid w:val="006D63FC"/>
    <w:rsid w:val="006D6B2B"/>
    <w:rsid w:val="007F1F3A"/>
    <w:rsid w:val="007F78EF"/>
    <w:rsid w:val="00851E22"/>
    <w:rsid w:val="00B672A0"/>
    <w:rsid w:val="00D3744E"/>
    <w:rsid w:val="00F97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E8E"/>
    <w:pPr>
      <w:spacing w:before="0"/>
      <w:jc w:val="left"/>
    </w:pPr>
    <w:rPr>
      <w:rFonts w:eastAsia="Times New Roman" w:cs="Times New Roman"/>
      <w:szCs w:val="28"/>
    </w:rPr>
  </w:style>
  <w:style w:type="paragraph" w:styleId="Heading8">
    <w:name w:val="heading 8"/>
    <w:basedOn w:val="Normal"/>
    <w:next w:val="Normal"/>
    <w:link w:val="Heading8Char"/>
    <w:qFormat/>
    <w:rsid w:val="00657E8E"/>
    <w:pPr>
      <w:keepNext/>
      <w:outlineLvl w:val="7"/>
    </w:pPr>
    <w:rPr>
      <w:b/>
      <w:bCs/>
      <w:sz w:val="3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657E8E"/>
    <w:rPr>
      <w:rFonts w:eastAsia="Times New Roman" w:cs="Times New Roman"/>
      <w:b/>
      <w:bCs/>
      <w:sz w:val="30"/>
      <w:szCs w:val="24"/>
    </w:rPr>
  </w:style>
  <w:style w:type="paragraph" w:styleId="BodyTextIndent3">
    <w:name w:val="Body Text Indent 3"/>
    <w:basedOn w:val="Normal"/>
    <w:link w:val="BodyTextIndent3Char"/>
    <w:rsid w:val="00657E8E"/>
    <w:pPr>
      <w:spacing w:after="120"/>
      <w:ind w:left="360"/>
    </w:pPr>
    <w:rPr>
      <w:sz w:val="16"/>
      <w:szCs w:val="16"/>
    </w:rPr>
  </w:style>
  <w:style w:type="character" w:customStyle="1" w:styleId="BodyTextIndent3Char">
    <w:name w:val="Body Text Indent 3 Char"/>
    <w:basedOn w:val="DefaultParagraphFont"/>
    <w:link w:val="BodyTextIndent3"/>
    <w:rsid w:val="00657E8E"/>
    <w:rPr>
      <w:rFonts w:eastAsia="Times New Roman" w:cs="Times New Roman"/>
      <w:sz w:val="16"/>
      <w:szCs w:val="16"/>
    </w:rPr>
  </w:style>
  <w:style w:type="paragraph" w:styleId="Header">
    <w:name w:val="header"/>
    <w:basedOn w:val="Normal"/>
    <w:link w:val="HeaderChar"/>
    <w:uiPriority w:val="99"/>
    <w:unhideWhenUsed/>
    <w:rsid w:val="00657E8E"/>
    <w:pPr>
      <w:tabs>
        <w:tab w:val="center" w:pos="4680"/>
        <w:tab w:val="right" w:pos="9360"/>
      </w:tabs>
    </w:pPr>
  </w:style>
  <w:style w:type="character" w:customStyle="1" w:styleId="HeaderChar">
    <w:name w:val="Header Char"/>
    <w:basedOn w:val="DefaultParagraphFont"/>
    <w:link w:val="Header"/>
    <w:uiPriority w:val="99"/>
    <w:rsid w:val="00657E8E"/>
    <w:rPr>
      <w:rFonts w:eastAsia="Times New Roman" w:cs="Times New Roman"/>
      <w:szCs w:val="28"/>
    </w:rPr>
  </w:style>
  <w:style w:type="paragraph" w:styleId="Footer">
    <w:name w:val="footer"/>
    <w:basedOn w:val="Normal"/>
    <w:link w:val="FooterChar"/>
    <w:uiPriority w:val="99"/>
    <w:unhideWhenUsed/>
    <w:rsid w:val="00657E8E"/>
    <w:pPr>
      <w:tabs>
        <w:tab w:val="center" w:pos="4680"/>
        <w:tab w:val="right" w:pos="9360"/>
      </w:tabs>
    </w:pPr>
  </w:style>
  <w:style w:type="character" w:customStyle="1" w:styleId="FooterChar">
    <w:name w:val="Footer Char"/>
    <w:basedOn w:val="DefaultParagraphFont"/>
    <w:link w:val="Footer"/>
    <w:uiPriority w:val="99"/>
    <w:rsid w:val="00657E8E"/>
    <w:rPr>
      <w:rFonts w:eastAsia="Times New Roman" w:cs="Times New Roman"/>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E8E"/>
    <w:pPr>
      <w:spacing w:before="0"/>
      <w:jc w:val="left"/>
    </w:pPr>
    <w:rPr>
      <w:rFonts w:eastAsia="Times New Roman" w:cs="Times New Roman"/>
      <w:szCs w:val="28"/>
    </w:rPr>
  </w:style>
  <w:style w:type="paragraph" w:styleId="Heading8">
    <w:name w:val="heading 8"/>
    <w:basedOn w:val="Normal"/>
    <w:next w:val="Normal"/>
    <w:link w:val="Heading8Char"/>
    <w:qFormat/>
    <w:rsid w:val="00657E8E"/>
    <w:pPr>
      <w:keepNext/>
      <w:outlineLvl w:val="7"/>
    </w:pPr>
    <w:rPr>
      <w:b/>
      <w:bCs/>
      <w:sz w:val="3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657E8E"/>
    <w:rPr>
      <w:rFonts w:eastAsia="Times New Roman" w:cs="Times New Roman"/>
      <w:b/>
      <w:bCs/>
      <w:sz w:val="30"/>
      <w:szCs w:val="24"/>
    </w:rPr>
  </w:style>
  <w:style w:type="paragraph" w:styleId="BodyTextIndent3">
    <w:name w:val="Body Text Indent 3"/>
    <w:basedOn w:val="Normal"/>
    <w:link w:val="BodyTextIndent3Char"/>
    <w:rsid w:val="00657E8E"/>
    <w:pPr>
      <w:spacing w:after="120"/>
      <w:ind w:left="360"/>
    </w:pPr>
    <w:rPr>
      <w:sz w:val="16"/>
      <w:szCs w:val="16"/>
    </w:rPr>
  </w:style>
  <w:style w:type="character" w:customStyle="1" w:styleId="BodyTextIndent3Char">
    <w:name w:val="Body Text Indent 3 Char"/>
    <w:basedOn w:val="DefaultParagraphFont"/>
    <w:link w:val="BodyTextIndent3"/>
    <w:rsid w:val="00657E8E"/>
    <w:rPr>
      <w:rFonts w:eastAsia="Times New Roman" w:cs="Times New Roman"/>
      <w:sz w:val="16"/>
      <w:szCs w:val="16"/>
    </w:rPr>
  </w:style>
  <w:style w:type="paragraph" w:styleId="Header">
    <w:name w:val="header"/>
    <w:basedOn w:val="Normal"/>
    <w:link w:val="HeaderChar"/>
    <w:uiPriority w:val="99"/>
    <w:unhideWhenUsed/>
    <w:rsid w:val="00657E8E"/>
    <w:pPr>
      <w:tabs>
        <w:tab w:val="center" w:pos="4680"/>
        <w:tab w:val="right" w:pos="9360"/>
      </w:tabs>
    </w:pPr>
  </w:style>
  <w:style w:type="character" w:customStyle="1" w:styleId="HeaderChar">
    <w:name w:val="Header Char"/>
    <w:basedOn w:val="DefaultParagraphFont"/>
    <w:link w:val="Header"/>
    <w:uiPriority w:val="99"/>
    <w:rsid w:val="00657E8E"/>
    <w:rPr>
      <w:rFonts w:eastAsia="Times New Roman" w:cs="Times New Roman"/>
      <w:szCs w:val="28"/>
    </w:rPr>
  </w:style>
  <w:style w:type="paragraph" w:styleId="Footer">
    <w:name w:val="footer"/>
    <w:basedOn w:val="Normal"/>
    <w:link w:val="FooterChar"/>
    <w:uiPriority w:val="99"/>
    <w:unhideWhenUsed/>
    <w:rsid w:val="00657E8E"/>
    <w:pPr>
      <w:tabs>
        <w:tab w:val="center" w:pos="4680"/>
        <w:tab w:val="right" w:pos="9360"/>
      </w:tabs>
    </w:pPr>
  </w:style>
  <w:style w:type="character" w:customStyle="1" w:styleId="FooterChar">
    <w:name w:val="Footer Char"/>
    <w:basedOn w:val="DefaultParagraphFont"/>
    <w:link w:val="Footer"/>
    <w:uiPriority w:val="99"/>
    <w:rsid w:val="00657E8E"/>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DN-HUY</dc:creator>
  <cp:lastModifiedBy>Nguyen</cp:lastModifiedBy>
  <cp:revision>2</cp:revision>
  <cp:lastPrinted>2021-06-25T08:59:00Z</cp:lastPrinted>
  <dcterms:created xsi:type="dcterms:W3CDTF">2021-07-26T08:30:00Z</dcterms:created>
  <dcterms:modified xsi:type="dcterms:W3CDTF">2021-07-26T08:30:00Z</dcterms:modified>
</cp:coreProperties>
</file>