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tblLook w:val="04A0"/>
      </w:tblPr>
      <w:tblGrid>
        <w:gridCol w:w="538"/>
        <w:gridCol w:w="1937"/>
        <w:gridCol w:w="1207"/>
        <w:gridCol w:w="967"/>
        <w:gridCol w:w="1207"/>
        <w:gridCol w:w="967"/>
        <w:gridCol w:w="7532"/>
      </w:tblGrid>
      <w:tr w:rsidR="004D7FCA" w:rsidRPr="00AC0411" w:rsidTr="004D7FCA">
        <w:trPr>
          <w:trHeight w:val="840"/>
        </w:trPr>
        <w:tc>
          <w:tcPr>
            <w:tcW w:w="0" w:type="auto"/>
            <w:gridSpan w:val="7"/>
            <w:tcBorders>
              <w:top w:val="nil"/>
              <w:left w:val="nil"/>
              <w:bottom w:val="nil"/>
              <w:right w:val="nil"/>
            </w:tcBorders>
            <w:shd w:val="clear" w:color="auto" w:fill="auto"/>
            <w:vAlign w:val="center"/>
            <w:hideMark/>
          </w:tcPr>
          <w:p w:rsidR="004D7FCA" w:rsidRPr="00AC0411" w:rsidRDefault="004D7FCA" w:rsidP="00AC0411">
            <w:pPr>
              <w:jc w:val="center"/>
            </w:pPr>
            <w:r w:rsidRPr="00AC0411">
              <w:t xml:space="preserve">TỔNG NGUỒN VỐN KẾ HOẠCH ĐẦU TƯ CÔNG TRUNG HẠN </w:t>
            </w:r>
            <w:r w:rsidRPr="00AC0411">
              <w:br/>
              <w:t>GIAI ĐOẠN 2021-2025 THÀNH PHỐ ĐÀ NẴNG</w:t>
            </w:r>
          </w:p>
        </w:tc>
      </w:tr>
      <w:tr w:rsidR="004D7FCA" w:rsidRPr="00AC0411" w:rsidTr="004D7FCA">
        <w:trPr>
          <w:trHeight w:val="435"/>
        </w:trPr>
        <w:tc>
          <w:tcPr>
            <w:tcW w:w="0" w:type="auto"/>
            <w:gridSpan w:val="7"/>
            <w:tcBorders>
              <w:top w:val="nil"/>
              <w:left w:val="nil"/>
              <w:bottom w:val="nil"/>
              <w:right w:val="nil"/>
            </w:tcBorders>
            <w:shd w:val="clear" w:color="auto" w:fill="auto"/>
            <w:vAlign w:val="center"/>
            <w:hideMark/>
          </w:tcPr>
          <w:p w:rsidR="004D7FCA" w:rsidRPr="00AC0411" w:rsidRDefault="004D7FCA" w:rsidP="00AC0411">
            <w:pPr>
              <w:jc w:val="center"/>
            </w:pPr>
            <w:r w:rsidRPr="00AC0411">
              <w:t>(Đính kèm Nghị quyết số 44/NQ-HĐND ngày 12 tháng 8 năm 2021 của HĐND thành phố Đà Nẵng)</w:t>
            </w:r>
          </w:p>
        </w:tc>
      </w:tr>
      <w:tr w:rsidR="004D7FCA" w:rsidRPr="004D7FCA" w:rsidTr="004D7FCA">
        <w:trPr>
          <w:trHeight w:val="360"/>
        </w:trPr>
        <w:tc>
          <w:tcPr>
            <w:tcW w:w="0" w:type="auto"/>
            <w:tcBorders>
              <w:top w:val="nil"/>
              <w:left w:val="nil"/>
              <w:bottom w:val="nil"/>
              <w:right w:val="nil"/>
            </w:tcBorders>
            <w:shd w:val="clear" w:color="auto" w:fill="auto"/>
            <w:vAlign w:val="center"/>
            <w:hideMark/>
          </w:tcPr>
          <w:p w:rsidR="004D7FCA" w:rsidRPr="004D7FCA" w:rsidRDefault="004D7FCA" w:rsidP="004D7FCA">
            <w:pPr>
              <w:jc w:val="center"/>
              <w:rPr>
                <w:color w:val="000000"/>
                <w:sz w:val="28"/>
                <w:szCs w:val="28"/>
              </w:rPr>
            </w:pPr>
          </w:p>
        </w:tc>
        <w:tc>
          <w:tcPr>
            <w:tcW w:w="0" w:type="auto"/>
            <w:tcBorders>
              <w:top w:val="nil"/>
              <w:left w:val="nil"/>
              <w:bottom w:val="nil"/>
              <w:right w:val="nil"/>
            </w:tcBorders>
            <w:shd w:val="clear" w:color="auto" w:fill="auto"/>
            <w:vAlign w:val="center"/>
            <w:hideMark/>
          </w:tcPr>
          <w:p w:rsidR="004D7FCA" w:rsidRPr="004D7FCA" w:rsidRDefault="004D7FCA" w:rsidP="004D7FCA">
            <w:pPr>
              <w:rPr>
                <w:color w:val="000000"/>
                <w:sz w:val="28"/>
                <w:szCs w:val="28"/>
              </w:rPr>
            </w:pPr>
          </w:p>
        </w:tc>
        <w:tc>
          <w:tcPr>
            <w:tcW w:w="0" w:type="auto"/>
            <w:tcBorders>
              <w:top w:val="nil"/>
              <w:left w:val="nil"/>
              <w:bottom w:val="nil"/>
              <w:right w:val="nil"/>
            </w:tcBorders>
            <w:shd w:val="clear" w:color="auto" w:fill="auto"/>
            <w:vAlign w:val="center"/>
            <w:hideMark/>
          </w:tcPr>
          <w:p w:rsidR="004D7FCA" w:rsidRPr="004D7FCA" w:rsidRDefault="004D7FCA" w:rsidP="004D7FCA">
            <w:pPr>
              <w:rPr>
                <w:color w:val="000000"/>
                <w:sz w:val="28"/>
                <w:szCs w:val="28"/>
              </w:rPr>
            </w:pPr>
          </w:p>
        </w:tc>
        <w:tc>
          <w:tcPr>
            <w:tcW w:w="0" w:type="auto"/>
            <w:tcBorders>
              <w:top w:val="nil"/>
              <w:left w:val="nil"/>
              <w:bottom w:val="nil"/>
              <w:right w:val="nil"/>
            </w:tcBorders>
            <w:shd w:val="clear" w:color="auto" w:fill="auto"/>
            <w:vAlign w:val="center"/>
            <w:hideMark/>
          </w:tcPr>
          <w:p w:rsidR="004D7FCA" w:rsidRPr="004D7FCA" w:rsidRDefault="004D7FCA" w:rsidP="004D7FCA">
            <w:pPr>
              <w:rPr>
                <w:color w:val="000000"/>
                <w:sz w:val="28"/>
                <w:szCs w:val="28"/>
              </w:rPr>
            </w:pPr>
          </w:p>
        </w:tc>
        <w:tc>
          <w:tcPr>
            <w:tcW w:w="0" w:type="auto"/>
            <w:gridSpan w:val="2"/>
            <w:tcBorders>
              <w:top w:val="nil"/>
              <w:left w:val="nil"/>
              <w:bottom w:val="nil"/>
              <w:right w:val="nil"/>
            </w:tcBorders>
            <w:shd w:val="clear" w:color="auto" w:fill="auto"/>
            <w:vAlign w:val="bottom"/>
            <w:hideMark/>
          </w:tcPr>
          <w:p w:rsidR="004D7FCA" w:rsidRPr="004D7FCA" w:rsidRDefault="004D7FCA" w:rsidP="004D7FCA">
            <w:pPr>
              <w:jc w:val="right"/>
              <w:rPr>
                <w:i/>
                <w:iCs/>
                <w:color w:val="000000"/>
              </w:rPr>
            </w:pPr>
          </w:p>
        </w:tc>
        <w:tc>
          <w:tcPr>
            <w:tcW w:w="0" w:type="auto"/>
            <w:tcBorders>
              <w:top w:val="nil"/>
              <w:left w:val="nil"/>
              <w:bottom w:val="nil"/>
              <w:right w:val="nil"/>
            </w:tcBorders>
            <w:shd w:val="clear" w:color="auto" w:fill="auto"/>
            <w:vAlign w:val="center"/>
            <w:hideMark/>
          </w:tcPr>
          <w:p w:rsidR="004D7FCA" w:rsidRPr="004D7FCA" w:rsidRDefault="004D7FCA" w:rsidP="004D7FCA">
            <w:pPr>
              <w:jc w:val="right"/>
              <w:rPr>
                <w:i/>
                <w:iCs/>
                <w:color w:val="000000"/>
              </w:rPr>
            </w:pPr>
            <w:r w:rsidRPr="004D7FCA">
              <w:rPr>
                <w:i/>
                <w:iCs/>
                <w:color w:val="000000"/>
              </w:rPr>
              <w:t xml:space="preserve"> ĐVT: Tỷ đồng </w:t>
            </w:r>
          </w:p>
        </w:tc>
      </w:tr>
      <w:tr w:rsidR="004D7FCA" w:rsidRPr="004D7FCA" w:rsidTr="004D7FCA">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Nguồn vốn</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 xml:space="preserve">Giai đoạn 2016 - 2020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 xml:space="preserve">Giai đoạn 2021 - 2025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Ghi chú</w:t>
            </w:r>
          </w:p>
        </w:tc>
      </w:tr>
      <w:tr w:rsidR="004D7FCA" w:rsidRPr="004D7FCA" w:rsidTr="004D7FCA">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FCA" w:rsidRPr="004D7FCA" w:rsidRDefault="004D7FCA" w:rsidP="004D7FCA">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FCA" w:rsidRPr="004D7FCA" w:rsidRDefault="004D7FCA" w:rsidP="004D7FCA">
            <w:pPr>
              <w:rPr>
                <w:b/>
                <w:bCs/>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7FCA" w:rsidRPr="004D7FCA" w:rsidRDefault="004D7FCA" w:rsidP="004D7FCA">
            <w:pPr>
              <w:rPr>
                <w:b/>
                <w:bCs/>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7FCA" w:rsidRPr="004D7FCA" w:rsidRDefault="004D7FCA" w:rsidP="004D7FCA">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FCA" w:rsidRPr="004D7FCA" w:rsidRDefault="004D7FCA" w:rsidP="004D7FCA">
            <w:pPr>
              <w:rPr>
                <w:b/>
                <w:bCs/>
                <w:color w:val="000000"/>
              </w:rPr>
            </w:pPr>
          </w:p>
        </w:tc>
      </w:tr>
      <w:tr w:rsidR="004D7FCA" w:rsidRPr="004D7FCA" w:rsidTr="004D7FCA">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7FCA" w:rsidRPr="004D7FCA" w:rsidRDefault="004D7FCA" w:rsidP="004D7FCA">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7FCA" w:rsidRPr="004D7FCA" w:rsidRDefault="004D7FCA" w:rsidP="004D7FCA">
            <w:pP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 xml:space="preserve"> Kế hoạch vốn </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Tỷ lệ</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center"/>
              <w:rPr>
                <w:b/>
                <w:bCs/>
                <w:color w:val="000000"/>
              </w:rPr>
            </w:pPr>
            <w:r w:rsidRPr="004D7FCA">
              <w:rPr>
                <w:b/>
                <w:bCs/>
                <w:color w:val="000000"/>
              </w:rPr>
              <w:t xml:space="preserve"> Kế hoạch vốn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center"/>
              <w:rPr>
                <w:b/>
                <w:bCs/>
                <w:color w:val="000000"/>
              </w:rPr>
            </w:pPr>
            <w:r w:rsidRPr="004D7FCA">
              <w:rPr>
                <w:b/>
                <w:bCs/>
                <w:color w:val="000000"/>
              </w:rPr>
              <w:t>Tỷ lệ</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 </w:t>
            </w:r>
          </w:p>
        </w:tc>
      </w:tr>
      <w:tr w:rsidR="004D7FCA" w:rsidRPr="004D7FCA" w:rsidTr="004D7FCA">
        <w:trPr>
          <w:trHeight w:val="7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TỔNG (A + B)</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 xml:space="preserve">          41.810.2 </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right"/>
              <w:rPr>
                <w:b/>
                <w:bCs/>
                <w:color w:val="000000"/>
              </w:rPr>
            </w:pPr>
            <w:r w:rsidRPr="004D7FCA">
              <w:rPr>
                <w:b/>
                <w:bCs/>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 xml:space="preserve">          59.496.4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 </w:t>
            </w:r>
          </w:p>
        </w:tc>
      </w:tr>
      <w:tr w:rsidR="004D7FCA" w:rsidRPr="004D7FCA" w:rsidTr="004D7FCA">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A</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NGUỒN VỐN NGÂN SÁCH THÀNH PHỐ</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b/>
                <w:bCs/>
              </w:rPr>
            </w:pPr>
            <w:r w:rsidRPr="004D7FCA">
              <w:rPr>
                <w:b/>
                <w:bCs/>
              </w:rPr>
              <w:t xml:space="preserve">          33.247.6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rPr>
                <w:b/>
                <w:bCs/>
              </w:rPr>
            </w:pPr>
            <w:r w:rsidRPr="004D7FCA">
              <w:rPr>
                <w:b/>
                <w:bCs/>
              </w:rPr>
              <w:t xml:space="preserve">              79.5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rPr>
                <w:b/>
                <w:bCs/>
              </w:rPr>
            </w:pPr>
            <w:r w:rsidRPr="004D7FCA">
              <w:rPr>
                <w:b/>
                <w:bCs/>
              </w:rPr>
              <w:t xml:space="preserve">          53.826.2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rPr>
                <w:b/>
                <w:bCs/>
              </w:rPr>
            </w:pPr>
            <w:r w:rsidRPr="004D7FCA">
              <w:rPr>
                <w:b/>
                <w:bCs/>
              </w:rPr>
              <w:t xml:space="preserve">             90.5 </w:t>
            </w:r>
          </w:p>
        </w:tc>
        <w:tc>
          <w:tcPr>
            <w:tcW w:w="0" w:type="auto"/>
            <w:vMerge w:val="restart"/>
            <w:tcBorders>
              <w:top w:val="nil"/>
              <w:left w:val="single" w:sz="4" w:space="0" w:color="auto"/>
              <w:bottom w:val="nil"/>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 xml:space="preserve">Tổng nguồn giai đoạn 2021-2025 theo Nghị quyết Đại hội Đảng bộ thành phố lần thứ XXII (mục 3.B). </w:t>
            </w:r>
          </w:p>
        </w:tc>
      </w:tr>
      <w:tr w:rsidR="004D7FCA" w:rsidRPr="004D7FCA" w:rsidTr="004D7FCA">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r w:rsidRPr="004D7FCA">
              <w:t>Nguồn vốn ngân sách tập trung</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r w:rsidRPr="004D7FCA">
              <w:t xml:space="preserve">           11.188.4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26.8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14.933.0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25.1 </w:t>
            </w:r>
          </w:p>
        </w:tc>
        <w:tc>
          <w:tcPr>
            <w:tcW w:w="0" w:type="auto"/>
            <w:vMerge/>
            <w:tcBorders>
              <w:top w:val="nil"/>
              <w:left w:val="single" w:sz="4" w:space="0" w:color="auto"/>
              <w:bottom w:val="nil"/>
              <w:right w:val="single" w:sz="4" w:space="0" w:color="auto"/>
            </w:tcBorders>
            <w:vAlign w:val="center"/>
            <w:hideMark/>
          </w:tcPr>
          <w:p w:rsidR="004D7FCA" w:rsidRPr="004D7FCA" w:rsidRDefault="004D7FCA" w:rsidP="004D7FCA">
            <w:pPr>
              <w:rPr>
                <w:color w:val="000000"/>
              </w:rPr>
            </w:pPr>
          </w:p>
        </w:tc>
      </w:tr>
      <w:tr w:rsidR="004D7FCA" w:rsidRPr="004D7FCA" w:rsidTr="004D7FC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Nguồn thu tiền sử dụng đất</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r w:rsidRPr="004D7FCA">
              <w:t xml:space="preserve">           10.873.5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26.0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0B05F4" w:rsidRDefault="004D7FCA" w:rsidP="004D7FCA">
            <w:r w:rsidRPr="004D7FCA">
              <w:rPr>
                <w:color w:val="FF0000"/>
              </w:rPr>
              <w:t xml:space="preserve">           </w:t>
            </w:r>
            <w:r w:rsidRPr="000B05F4">
              <w:t xml:space="preserve">28.892.2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48.6 </w:t>
            </w:r>
          </w:p>
        </w:tc>
        <w:tc>
          <w:tcPr>
            <w:tcW w:w="0" w:type="auto"/>
            <w:vMerge/>
            <w:tcBorders>
              <w:top w:val="nil"/>
              <w:left w:val="single" w:sz="4" w:space="0" w:color="auto"/>
              <w:bottom w:val="nil"/>
              <w:right w:val="single" w:sz="4" w:space="0" w:color="auto"/>
            </w:tcBorders>
            <w:vAlign w:val="center"/>
            <w:hideMark/>
          </w:tcPr>
          <w:p w:rsidR="004D7FCA" w:rsidRPr="004D7FCA" w:rsidRDefault="004D7FCA" w:rsidP="004D7FCA">
            <w:pPr>
              <w:rPr>
                <w:color w:val="000000"/>
              </w:rPr>
            </w:pPr>
          </w:p>
        </w:tc>
      </w:tr>
      <w:tr w:rsidR="004D7FCA" w:rsidRPr="004D7FCA" w:rsidTr="004D7FCA">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Nguồn thu xổ số kiến thiết</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r w:rsidRPr="004D7FCA">
              <w:t xml:space="preserve">                779.1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1.9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855.0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1.4 </w:t>
            </w:r>
          </w:p>
        </w:tc>
        <w:tc>
          <w:tcPr>
            <w:tcW w:w="0" w:type="auto"/>
            <w:vMerge/>
            <w:tcBorders>
              <w:top w:val="nil"/>
              <w:left w:val="single" w:sz="4" w:space="0" w:color="auto"/>
              <w:bottom w:val="nil"/>
              <w:right w:val="single" w:sz="4" w:space="0" w:color="auto"/>
            </w:tcBorders>
            <w:vAlign w:val="center"/>
            <w:hideMark/>
          </w:tcPr>
          <w:p w:rsidR="004D7FCA" w:rsidRPr="004D7FCA" w:rsidRDefault="004D7FCA" w:rsidP="004D7FCA">
            <w:pPr>
              <w:rPr>
                <w:color w:val="000000"/>
              </w:rPr>
            </w:pPr>
          </w:p>
        </w:tc>
      </w:tr>
      <w:tr w:rsidR="004D7FCA" w:rsidRPr="004D7FCA" w:rsidTr="004D7FC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Vay bù đắp bội chi</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r w:rsidRPr="004D7FCA">
              <w:t xml:space="preserve">             2.244.8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5.4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6.981.8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11.7 </w:t>
            </w:r>
          </w:p>
        </w:tc>
        <w:tc>
          <w:tcPr>
            <w:tcW w:w="0" w:type="auto"/>
            <w:vMerge/>
            <w:tcBorders>
              <w:top w:val="nil"/>
              <w:left w:val="single" w:sz="4" w:space="0" w:color="auto"/>
              <w:bottom w:val="nil"/>
              <w:right w:val="single" w:sz="4" w:space="0" w:color="auto"/>
            </w:tcBorders>
            <w:vAlign w:val="center"/>
            <w:hideMark/>
          </w:tcPr>
          <w:p w:rsidR="004D7FCA" w:rsidRPr="004D7FCA" w:rsidRDefault="004D7FCA" w:rsidP="004D7FCA">
            <w:pPr>
              <w:rPr>
                <w:color w:val="000000"/>
              </w:rPr>
            </w:pPr>
          </w:p>
        </w:tc>
      </w:tr>
      <w:tr w:rsidR="004D7FCA" w:rsidRPr="004D7FCA" w:rsidTr="004D7FCA">
        <w:trPr>
          <w:trHeight w:val="555"/>
        </w:trPr>
        <w:tc>
          <w:tcPr>
            <w:tcW w:w="0" w:type="auto"/>
            <w:tcBorders>
              <w:top w:val="nil"/>
              <w:left w:val="single" w:sz="4" w:space="0" w:color="auto"/>
              <w:bottom w:val="nil"/>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5</w:t>
            </w:r>
          </w:p>
        </w:tc>
        <w:tc>
          <w:tcPr>
            <w:tcW w:w="0" w:type="auto"/>
            <w:tcBorders>
              <w:top w:val="nil"/>
              <w:left w:val="nil"/>
              <w:bottom w:val="nil"/>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Nguồn khác</w:t>
            </w:r>
          </w:p>
        </w:tc>
        <w:tc>
          <w:tcPr>
            <w:tcW w:w="0" w:type="auto"/>
            <w:tcBorders>
              <w:top w:val="nil"/>
              <w:left w:val="nil"/>
              <w:bottom w:val="nil"/>
              <w:right w:val="single" w:sz="4" w:space="0" w:color="auto"/>
            </w:tcBorders>
            <w:shd w:val="clear" w:color="auto" w:fill="auto"/>
            <w:vAlign w:val="center"/>
            <w:hideMark/>
          </w:tcPr>
          <w:p w:rsidR="004D7FCA" w:rsidRPr="004D7FCA" w:rsidRDefault="004D7FCA" w:rsidP="004D7FCA">
            <w:r w:rsidRPr="004D7FCA">
              <w:t xml:space="preserve">                8.162 </w:t>
            </w:r>
          </w:p>
        </w:tc>
        <w:tc>
          <w:tcPr>
            <w:tcW w:w="0" w:type="auto"/>
            <w:tcBorders>
              <w:top w:val="nil"/>
              <w:left w:val="nil"/>
              <w:bottom w:val="nil"/>
              <w:right w:val="single" w:sz="4" w:space="0" w:color="auto"/>
            </w:tcBorders>
            <w:shd w:val="clear" w:color="000000" w:fill="FFFFFF"/>
            <w:vAlign w:val="center"/>
            <w:hideMark/>
          </w:tcPr>
          <w:p w:rsidR="004D7FCA" w:rsidRPr="004D7FCA" w:rsidRDefault="004D7FCA" w:rsidP="004D7FCA">
            <w:r w:rsidRPr="004D7FCA">
              <w:t xml:space="preserve">              19.5 </w:t>
            </w:r>
          </w:p>
        </w:tc>
        <w:tc>
          <w:tcPr>
            <w:tcW w:w="0" w:type="auto"/>
            <w:tcBorders>
              <w:top w:val="nil"/>
              <w:left w:val="nil"/>
              <w:bottom w:val="nil"/>
              <w:right w:val="single" w:sz="4" w:space="0" w:color="auto"/>
            </w:tcBorders>
            <w:shd w:val="clear" w:color="000000" w:fill="FFFFFF"/>
            <w:vAlign w:val="center"/>
            <w:hideMark/>
          </w:tcPr>
          <w:p w:rsidR="004D7FCA" w:rsidRPr="004D7FCA" w:rsidRDefault="004D7FCA" w:rsidP="004D7FCA">
            <w:r w:rsidRPr="004D7FCA">
              <w:t xml:space="preserve">             2.164.2 </w:t>
            </w:r>
          </w:p>
        </w:tc>
        <w:tc>
          <w:tcPr>
            <w:tcW w:w="0" w:type="auto"/>
            <w:tcBorders>
              <w:top w:val="nil"/>
              <w:left w:val="nil"/>
              <w:bottom w:val="nil"/>
              <w:right w:val="single" w:sz="4" w:space="0" w:color="auto"/>
            </w:tcBorders>
            <w:shd w:val="clear" w:color="000000" w:fill="FFFFFF"/>
            <w:vAlign w:val="center"/>
            <w:hideMark/>
          </w:tcPr>
          <w:p w:rsidR="004D7FCA" w:rsidRPr="004D7FCA" w:rsidRDefault="004D7FCA" w:rsidP="004D7FCA">
            <w:r w:rsidRPr="004D7FCA">
              <w:t xml:space="preserve">                3.6 </w:t>
            </w:r>
          </w:p>
        </w:tc>
        <w:tc>
          <w:tcPr>
            <w:tcW w:w="0" w:type="auto"/>
            <w:vMerge/>
            <w:tcBorders>
              <w:top w:val="nil"/>
              <w:left w:val="single" w:sz="4" w:space="0" w:color="auto"/>
              <w:bottom w:val="nil"/>
              <w:right w:val="single" w:sz="4" w:space="0" w:color="auto"/>
            </w:tcBorders>
            <w:vAlign w:val="center"/>
            <w:hideMark/>
          </w:tcPr>
          <w:p w:rsidR="004D7FCA" w:rsidRPr="004D7FCA" w:rsidRDefault="004D7FCA" w:rsidP="004D7FCA">
            <w:pPr>
              <w:rPr>
                <w:color w:val="000000"/>
              </w:rPr>
            </w:pPr>
          </w:p>
        </w:tc>
      </w:tr>
      <w:tr w:rsidR="004D7FCA" w:rsidRPr="004D7FCA" w:rsidTr="000B05F4">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NGUỒN VỐN TRUNG ƯƠNG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 xml:space="preserve">               8.563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7FCA" w:rsidRPr="004D7FCA" w:rsidRDefault="004D7FCA" w:rsidP="004D7FCA">
            <w:pPr>
              <w:rPr>
                <w:b/>
                <w:bCs/>
                <w:color w:val="000000"/>
              </w:rPr>
            </w:pPr>
            <w:r w:rsidRPr="004D7FCA">
              <w:rPr>
                <w:b/>
                <w:bCs/>
                <w:color w:val="000000"/>
              </w:rPr>
              <w:t xml:space="preserve">              20.5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 xml:space="preserve">            5.670.2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7FCA" w:rsidRPr="004D7FCA" w:rsidRDefault="004D7FCA" w:rsidP="004D7FCA">
            <w:pPr>
              <w:rPr>
                <w:b/>
                <w:bCs/>
                <w:color w:val="000000"/>
              </w:rPr>
            </w:pPr>
            <w:r w:rsidRPr="004D7FCA">
              <w:rPr>
                <w:b/>
                <w:bCs/>
                <w:color w:val="000000"/>
              </w:rPr>
              <w:t xml:space="preserve">               9.5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 </w:t>
            </w:r>
          </w:p>
        </w:tc>
      </w:tr>
      <w:tr w:rsidR="004D7FCA" w:rsidRPr="004D7FCA" w:rsidTr="000B05F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Nguồn vốn Trung ương trong nước</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 xml:space="preserve">             4.873.7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rPr>
                <w:color w:val="000000"/>
              </w:rPr>
            </w:pPr>
            <w:r w:rsidRPr="004D7FCA">
              <w:rPr>
                <w:color w:val="000000"/>
              </w:rPr>
              <w:t xml:space="preserve">              11.7 </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 xml:space="preserve">             5.340.2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rPr>
                <w:color w:val="000000"/>
              </w:rPr>
            </w:pPr>
            <w:r w:rsidRPr="004D7FCA">
              <w:rPr>
                <w:color w:val="000000"/>
              </w:rPr>
              <w:t xml:space="preserve">                9.0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 xml:space="preserve">Giai đoạn 2021-2025 theo Nghị quyết số 29/2021/QH15 ngày 28/7/2021 của Quốc hội về Kế hoạch đầu tư công trung hạn giai đoạn 2021-2025; </w:t>
            </w:r>
            <w:r w:rsidRPr="004D7FCA">
              <w:rPr>
                <w:color w:val="000000"/>
              </w:rPr>
              <w:lastRenderedPageBreak/>
              <w:t>Công văn số 419/TTg-KTTH ngày 02/4/2021 của Thủ tướng Chính phủ về dự kiến kế hoạch đầu tư công trung hạn giai đoạn 2021-2025.</w:t>
            </w:r>
          </w:p>
        </w:tc>
      </w:tr>
      <w:tr w:rsidR="004D7FCA" w:rsidRPr="004D7FCA" w:rsidTr="000B05F4">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lastRenderedPageBreak/>
              <w: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NSTW hỗ trợ có mục tiêu (theo điểm số)</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 xml:space="preserve">             4.873.7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7FCA" w:rsidRPr="004D7FCA" w:rsidRDefault="004D7FCA" w:rsidP="004D7FCA">
            <w:r w:rsidRPr="004D7FCA">
              <w:t xml:space="preserve">              11.7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 xml:space="preserve">             2.113.2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D7FCA" w:rsidRPr="004D7FCA" w:rsidRDefault="004D7FCA" w:rsidP="004D7FCA">
            <w:pPr>
              <w:rPr>
                <w:color w:val="000000"/>
              </w:rPr>
            </w:pPr>
            <w:r w:rsidRPr="004D7FCA">
              <w:rPr>
                <w:color w:val="000000"/>
              </w:rPr>
              <w:t xml:space="preserve">                3.6 </w:t>
            </w:r>
          </w:p>
        </w:tc>
        <w:tc>
          <w:tcPr>
            <w:tcW w:w="0" w:type="auto"/>
            <w:vMerge/>
            <w:tcBorders>
              <w:top w:val="single" w:sz="4" w:space="0" w:color="auto"/>
              <w:left w:val="single" w:sz="4" w:space="0" w:color="auto"/>
              <w:bottom w:val="nil"/>
              <w:right w:val="single" w:sz="4" w:space="0" w:color="auto"/>
            </w:tcBorders>
            <w:vAlign w:val="center"/>
            <w:hideMark/>
          </w:tcPr>
          <w:p w:rsidR="004D7FCA" w:rsidRPr="004D7FCA" w:rsidRDefault="004D7FCA" w:rsidP="004D7FCA">
            <w:pPr>
              <w:rPr>
                <w:color w:val="000000"/>
              </w:rPr>
            </w:pPr>
          </w:p>
        </w:tc>
      </w:tr>
      <w:tr w:rsidR="004D7FCA" w:rsidRPr="004D7FCA" w:rsidTr="000B05F4">
        <w:trPr>
          <w:trHeight w:val="825"/>
        </w:trPr>
        <w:tc>
          <w:tcPr>
            <w:tcW w:w="0" w:type="auto"/>
            <w:tcBorders>
              <w:top w:val="nil"/>
              <w:left w:val="single" w:sz="4" w:space="0" w:color="auto"/>
              <w:bottom w:val="nil"/>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lastRenderedPageBreak/>
              <w:t>b)</w:t>
            </w:r>
          </w:p>
        </w:tc>
        <w:tc>
          <w:tcPr>
            <w:tcW w:w="0" w:type="auto"/>
            <w:tcBorders>
              <w:top w:val="nil"/>
              <w:left w:val="nil"/>
              <w:bottom w:val="nil"/>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Vốn liên vùng</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 xml:space="preserve">             3.227.0 </w:t>
            </w:r>
          </w:p>
        </w:tc>
        <w:tc>
          <w:tcPr>
            <w:tcW w:w="0" w:type="auto"/>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rPr>
                <w:color w:val="000000"/>
              </w:rPr>
            </w:pPr>
            <w:r w:rsidRPr="004D7FCA">
              <w:rPr>
                <w:color w:val="000000"/>
              </w:rPr>
              <w:t xml:space="preserve">                5.4 </w:t>
            </w:r>
          </w:p>
        </w:tc>
        <w:tc>
          <w:tcPr>
            <w:tcW w:w="0" w:type="auto"/>
            <w:vMerge/>
            <w:tcBorders>
              <w:top w:val="nil"/>
              <w:left w:val="single" w:sz="4" w:space="0" w:color="auto"/>
              <w:right w:val="single" w:sz="4" w:space="0" w:color="auto"/>
            </w:tcBorders>
            <w:vAlign w:val="center"/>
            <w:hideMark/>
          </w:tcPr>
          <w:p w:rsidR="004D7FCA" w:rsidRPr="004D7FCA" w:rsidRDefault="004D7FCA" w:rsidP="004D7FCA">
            <w:pPr>
              <w:rPr>
                <w:color w:val="000000"/>
              </w:rPr>
            </w:pPr>
          </w:p>
        </w:tc>
      </w:tr>
      <w:tr w:rsidR="004D7FCA" w:rsidRPr="004D7FCA" w:rsidTr="000B05F4">
        <w:trPr>
          <w:trHeight w:val="11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Nguồn vốn Trung ương ngoài nước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 xml:space="preserve">             3.688.9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D7FCA" w:rsidRPr="004D7FCA" w:rsidRDefault="004D7FCA" w:rsidP="004D7FCA">
            <w:pPr>
              <w:rPr>
                <w:color w:val="000000"/>
              </w:rPr>
            </w:pPr>
            <w:r w:rsidRPr="004D7FCA">
              <w:rPr>
                <w:color w:val="000000"/>
              </w:rPr>
              <w:t xml:space="preserve">                8.8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 xml:space="preserve">               330.0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D7FCA" w:rsidRPr="004D7FCA" w:rsidRDefault="004D7FCA" w:rsidP="004D7FCA">
            <w:pPr>
              <w:rPr>
                <w:color w:val="000000"/>
              </w:rPr>
            </w:pPr>
            <w:r w:rsidRPr="004D7FCA">
              <w:rPr>
                <w:color w:val="000000"/>
              </w:rPr>
              <w:t xml:space="preserve">                0.6 </w:t>
            </w:r>
          </w:p>
        </w:tc>
        <w:tc>
          <w:tcPr>
            <w:tcW w:w="0" w:type="auto"/>
            <w:vMerge/>
            <w:tcBorders>
              <w:left w:val="single" w:sz="4" w:space="0" w:color="auto"/>
              <w:bottom w:val="single" w:sz="4" w:space="0" w:color="auto"/>
              <w:right w:val="single" w:sz="4" w:space="0" w:color="auto"/>
            </w:tcBorders>
            <w:vAlign w:val="center"/>
            <w:hideMark/>
          </w:tcPr>
          <w:p w:rsidR="004D7FCA" w:rsidRPr="004D7FCA" w:rsidRDefault="004D7FCA" w:rsidP="004D7FCA">
            <w:pPr>
              <w:rPr>
                <w:color w:val="000000"/>
              </w:rPr>
            </w:pPr>
          </w:p>
        </w:tc>
      </w:tr>
    </w:tbl>
    <w:p w:rsidR="00662526" w:rsidRPr="00AC0411" w:rsidRDefault="00662526"/>
    <w:p w:rsidR="004D7FCA" w:rsidRPr="00AC0411" w:rsidRDefault="004D7FCA"/>
    <w:p w:rsidR="004D7FCA" w:rsidRPr="00AC0411" w:rsidRDefault="004D7FCA"/>
    <w:p w:rsidR="004D7FCA" w:rsidRPr="00AC0411" w:rsidRDefault="004D7FCA"/>
    <w:p w:rsidR="004D7FCA" w:rsidRPr="00AC0411" w:rsidRDefault="004D7FCA"/>
    <w:p w:rsidR="004D7FCA" w:rsidRPr="00AC0411" w:rsidRDefault="004D7FCA"/>
    <w:p w:rsidR="00AC0411" w:rsidRPr="00AC0411" w:rsidRDefault="00AC0411"/>
    <w:p w:rsidR="00AC0411" w:rsidRPr="00AC0411" w:rsidRDefault="00AC0411"/>
    <w:p w:rsidR="00AC0411" w:rsidRPr="00AC0411" w:rsidRDefault="00AC0411"/>
    <w:p w:rsidR="00AC0411" w:rsidRPr="00AC0411" w:rsidRDefault="00AC0411"/>
    <w:p w:rsidR="00AC0411" w:rsidRPr="00AC0411" w:rsidRDefault="00AC0411"/>
    <w:p w:rsidR="00AC0411" w:rsidRPr="00AC0411" w:rsidRDefault="00AC0411"/>
    <w:p w:rsidR="00AC0411" w:rsidRPr="00AC0411" w:rsidRDefault="00AC0411"/>
    <w:p w:rsidR="00AC0411" w:rsidRPr="00AC0411" w:rsidRDefault="00AC0411"/>
    <w:p w:rsidR="00AC0411" w:rsidRPr="00AC0411" w:rsidRDefault="00AC0411"/>
    <w:p w:rsidR="004D7FCA" w:rsidRDefault="004D7FCA"/>
    <w:p w:rsidR="00AC0411" w:rsidRDefault="00AC0411"/>
    <w:p w:rsidR="00AC0411" w:rsidRDefault="00AC0411"/>
    <w:p w:rsidR="00AC0411" w:rsidRDefault="00AC0411"/>
    <w:p w:rsidR="00AC0411" w:rsidRDefault="00AC0411"/>
    <w:p w:rsidR="00AC0411" w:rsidRDefault="00AC0411"/>
    <w:p w:rsidR="00AC0411" w:rsidRPr="00AC0411" w:rsidRDefault="00AC0411"/>
    <w:tbl>
      <w:tblPr>
        <w:tblW w:w="12740" w:type="dxa"/>
        <w:tblInd w:w="93" w:type="dxa"/>
        <w:tblLook w:val="04A0"/>
      </w:tblPr>
      <w:tblGrid>
        <w:gridCol w:w="800"/>
        <w:gridCol w:w="8240"/>
        <w:gridCol w:w="1560"/>
        <w:gridCol w:w="2140"/>
      </w:tblGrid>
      <w:tr w:rsidR="004D7FCA" w:rsidRPr="004D7FCA" w:rsidTr="004D7FCA">
        <w:trPr>
          <w:trHeight w:val="885"/>
        </w:trPr>
        <w:tc>
          <w:tcPr>
            <w:tcW w:w="12740" w:type="dxa"/>
            <w:gridSpan w:val="4"/>
            <w:tcBorders>
              <w:top w:val="nil"/>
              <w:left w:val="nil"/>
              <w:bottom w:val="nil"/>
              <w:right w:val="nil"/>
            </w:tcBorders>
            <w:shd w:val="clear" w:color="auto" w:fill="auto"/>
            <w:vAlign w:val="center"/>
            <w:hideMark/>
          </w:tcPr>
          <w:p w:rsidR="004D7FCA" w:rsidRPr="004D7FCA" w:rsidRDefault="004D7FCA" w:rsidP="004D7FCA">
            <w:pPr>
              <w:jc w:val="center"/>
              <w:rPr>
                <w:b/>
                <w:bCs/>
                <w:color w:val="000000"/>
              </w:rPr>
            </w:pPr>
            <w:r w:rsidRPr="004D7FCA">
              <w:rPr>
                <w:b/>
                <w:bCs/>
                <w:color w:val="000000"/>
              </w:rPr>
              <w:lastRenderedPageBreak/>
              <w:t xml:space="preserve">PHÂN BỔ CHI TIẾT KẾ HOẠCH VỐN TRUNG HẠN GIAI ĐOẠN 2021-2025 </w:t>
            </w:r>
            <w:r w:rsidRPr="004D7FCA">
              <w:rPr>
                <w:b/>
                <w:bCs/>
                <w:color w:val="000000"/>
              </w:rPr>
              <w:br/>
              <w:t>THÀNH PHỐ ĐÀ NẴNG</w:t>
            </w:r>
          </w:p>
        </w:tc>
      </w:tr>
      <w:tr w:rsidR="004D7FCA" w:rsidRPr="004D7FCA" w:rsidTr="004D7FCA">
        <w:trPr>
          <w:trHeight w:val="885"/>
        </w:trPr>
        <w:tc>
          <w:tcPr>
            <w:tcW w:w="800" w:type="dxa"/>
            <w:tcBorders>
              <w:top w:val="nil"/>
              <w:left w:val="nil"/>
              <w:bottom w:val="nil"/>
              <w:right w:val="nil"/>
            </w:tcBorders>
            <w:shd w:val="clear" w:color="auto" w:fill="auto"/>
            <w:vAlign w:val="center"/>
            <w:hideMark/>
          </w:tcPr>
          <w:p w:rsidR="004D7FCA" w:rsidRPr="004D7FCA" w:rsidRDefault="004D7FCA" w:rsidP="004D7FCA">
            <w:pPr>
              <w:jc w:val="center"/>
              <w:rPr>
                <w:b/>
                <w:bCs/>
                <w:color w:val="000000"/>
              </w:rPr>
            </w:pPr>
          </w:p>
        </w:tc>
        <w:tc>
          <w:tcPr>
            <w:tcW w:w="11940" w:type="dxa"/>
            <w:gridSpan w:val="3"/>
            <w:tcBorders>
              <w:top w:val="nil"/>
              <w:left w:val="nil"/>
              <w:bottom w:val="nil"/>
              <w:right w:val="nil"/>
            </w:tcBorders>
            <w:shd w:val="clear" w:color="auto" w:fill="auto"/>
            <w:vAlign w:val="center"/>
            <w:hideMark/>
          </w:tcPr>
          <w:p w:rsidR="004D7FCA" w:rsidRPr="004D7FCA" w:rsidRDefault="004D7FCA" w:rsidP="004D7FCA">
            <w:pPr>
              <w:jc w:val="center"/>
              <w:rPr>
                <w:i/>
                <w:iCs/>
                <w:color w:val="000000"/>
              </w:rPr>
            </w:pPr>
            <w:r w:rsidRPr="004D7FCA">
              <w:rPr>
                <w:i/>
                <w:iCs/>
                <w:color w:val="000000"/>
              </w:rPr>
              <w:t>(Đính kèm Nghị quyết số 44/NQ-HĐND ngày 12 tháng  8 năm 2021 của HĐND thành phố Đà Nẵng)</w:t>
            </w:r>
          </w:p>
        </w:tc>
      </w:tr>
      <w:tr w:rsidR="004D7FCA" w:rsidRPr="004D7FCA" w:rsidTr="004D7FCA">
        <w:trPr>
          <w:trHeight w:val="420"/>
        </w:trPr>
        <w:tc>
          <w:tcPr>
            <w:tcW w:w="800" w:type="dxa"/>
            <w:tcBorders>
              <w:top w:val="nil"/>
              <w:left w:val="nil"/>
              <w:bottom w:val="nil"/>
              <w:right w:val="nil"/>
            </w:tcBorders>
            <w:shd w:val="clear" w:color="auto" w:fill="auto"/>
            <w:noWrap/>
            <w:vAlign w:val="bottom"/>
            <w:hideMark/>
          </w:tcPr>
          <w:p w:rsidR="004D7FCA" w:rsidRPr="004D7FCA" w:rsidRDefault="004D7FCA" w:rsidP="004D7FCA">
            <w:pPr>
              <w:rPr>
                <w:rFonts w:ascii="Calibri" w:hAnsi="Calibri" w:cs="Calibri"/>
                <w:color w:val="000000"/>
              </w:rPr>
            </w:pPr>
          </w:p>
        </w:tc>
        <w:tc>
          <w:tcPr>
            <w:tcW w:w="8240" w:type="dxa"/>
            <w:tcBorders>
              <w:top w:val="nil"/>
              <w:left w:val="nil"/>
              <w:bottom w:val="nil"/>
              <w:right w:val="nil"/>
            </w:tcBorders>
            <w:shd w:val="clear" w:color="auto" w:fill="auto"/>
            <w:noWrap/>
            <w:vAlign w:val="bottom"/>
            <w:hideMark/>
          </w:tcPr>
          <w:p w:rsidR="004D7FCA" w:rsidRPr="004D7FCA" w:rsidRDefault="004D7FCA" w:rsidP="004D7FCA">
            <w:pPr>
              <w:rPr>
                <w:rFonts w:ascii="Calibri" w:hAnsi="Calibri" w:cs="Calibri"/>
                <w:color w:val="000000"/>
              </w:rPr>
            </w:pPr>
          </w:p>
        </w:tc>
        <w:tc>
          <w:tcPr>
            <w:tcW w:w="1560" w:type="dxa"/>
            <w:tcBorders>
              <w:top w:val="nil"/>
              <w:left w:val="nil"/>
              <w:bottom w:val="nil"/>
              <w:right w:val="nil"/>
            </w:tcBorders>
            <w:shd w:val="clear" w:color="auto" w:fill="auto"/>
            <w:noWrap/>
            <w:vAlign w:val="bottom"/>
            <w:hideMark/>
          </w:tcPr>
          <w:p w:rsidR="004D7FCA" w:rsidRPr="004D7FCA" w:rsidRDefault="004D7FCA" w:rsidP="004D7FCA">
            <w:pPr>
              <w:rPr>
                <w:rFonts w:ascii="Calibri" w:hAnsi="Calibri" w:cs="Calibri"/>
                <w:color w:val="000000"/>
              </w:rPr>
            </w:pPr>
          </w:p>
        </w:tc>
        <w:tc>
          <w:tcPr>
            <w:tcW w:w="2140" w:type="dxa"/>
            <w:tcBorders>
              <w:top w:val="nil"/>
              <w:left w:val="nil"/>
              <w:bottom w:val="nil"/>
              <w:right w:val="nil"/>
            </w:tcBorders>
            <w:shd w:val="clear" w:color="auto" w:fill="auto"/>
            <w:noWrap/>
            <w:vAlign w:val="center"/>
            <w:hideMark/>
          </w:tcPr>
          <w:p w:rsidR="004D7FCA" w:rsidRPr="004D7FCA" w:rsidRDefault="004D7FCA" w:rsidP="004D7FCA">
            <w:pPr>
              <w:jc w:val="right"/>
              <w:rPr>
                <w:i/>
                <w:iCs/>
                <w:color w:val="000000"/>
              </w:rPr>
            </w:pPr>
            <w:r w:rsidRPr="004D7FCA">
              <w:rPr>
                <w:i/>
                <w:iCs/>
                <w:color w:val="000000"/>
              </w:rPr>
              <w:t>ĐVT: Tỷ đồng</w:t>
            </w:r>
          </w:p>
        </w:tc>
      </w:tr>
      <w:tr w:rsidR="004D7FCA" w:rsidRPr="004D7FCA" w:rsidTr="004D7FCA">
        <w:trPr>
          <w:trHeight w:val="615"/>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TT</w:t>
            </w:r>
          </w:p>
        </w:tc>
        <w:tc>
          <w:tcPr>
            <w:tcW w:w="8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Phân bổ Kế hoạch vốn</w:t>
            </w:r>
          </w:p>
        </w:tc>
        <w:tc>
          <w:tcPr>
            <w:tcW w:w="3700" w:type="dxa"/>
            <w:gridSpan w:val="2"/>
            <w:tcBorders>
              <w:top w:val="single" w:sz="4" w:space="0" w:color="auto"/>
              <w:left w:val="nil"/>
              <w:bottom w:val="single" w:sz="4" w:space="0" w:color="auto"/>
              <w:right w:val="single" w:sz="4" w:space="0" w:color="auto"/>
            </w:tcBorders>
            <w:shd w:val="clear" w:color="000000" w:fill="FFFFFF"/>
            <w:vAlign w:val="center"/>
            <w:hideMark/>
          </w:tcPr>
          <w:p w:rsidR="004D7FCA" w:rsidRPr="004D7FCA" w:rsidRDefault="004D7FCA" w:rsidP="004D7FCA">
            <w:pPr>
              <w:jc w:val="center"/>
              <w:rPr>
                <w:b/>
                <w:bCs/>
                <w:color w:val="000000"/>
              </w:rPr>
            </w:pPr>
            <w:r w:rsidRPr="004D7FCA">
              <w:rPr>
                <w:b/>
                <w:bCs/>
                <w:color w:val="000000"/>
              </w:rPr>
              <w:t>Kế hoạch giai đoạn 2021-2025</w:t>
            </w:r>
          </w:p>
        </w:tc>
      </w:tr>
      <w:tr w:rsidR="004D7FCA" w:rsidRPr="004D7FCA" w:rsidTr="004D7FCA">
        <w:trPr>
          <w:trHeight w:val="51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4D7FCA" w:rsidRPr="004D7FCA" w:rsidRDefault="004D7FCA" w:rsidP="004D7FCA">
            <w:pPr>
              <w:rPr>
                <w:b/>
                <w:bCs/>
                <w:color w:val="000000"/>
              </w:rPr>
            </w:pPr>
          </w:p>
        </w:tc>
        <w:tc>
          <w:tcPr>
            <w:tcW w:w="8240" w:type="dxa"/>
            <w:vMerge/>
            <w:tcBorders>
              <w:top w:val="single" w:sz="4" w:space="0" w:color="auto"/>
              <w:left w:val="single" w:sz="4" w:space="0" w:color="auto"/>
              <w:bottom w:val="single" w:sz="4" w:space="0" w:color="auto"/>
              <w:right w:val="single" w:sz="4" w:space="0" w:color="auto"/>
            </w:tcBorders>
            <w:vAlign w:val="center"/>
            <w:hideMark/>
          </w:tcPr>
          <w:p w:rsidR="004D7FCA" w:rsidRPr="004D7FCA" w:rsidRDefault="004D7FCA" w:rsidP="004D7FCA">
            <w:pPr>
              <w:rPr>
                <w:b/>
                <w:bCs/>
                <w:color w:val="000000"/>
              </w:rPr>
            </w:pPr>
          </w:p>
        </w:tc>
        <w:tc>
          <w:tcPr>
            <w:tcW w:w="156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center"/>
              <w:rPr>
                <w:b/>
                <w:bCs/>
                <w:color w:val="000000"/>
              </w:rPr>
            </w:pPr>
            <w:r w:rsidRPr="004D7FCA">
              <w:rPr>
                <w:b/>
                <w:bCs/>
                <w:color w:val="000000"/>
              </w:rPr>
              <w:t>Số dự án</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center"/>
              <w:rPr>
                <w:b/>
                <w:bCs/>
                <w:color w:val="000000"/>
              </w:rPr>
            </w:pPr>
            <w:r w:rsidRPr="004D7FCA">
              <w:rPr>
                <w:b/>
                <w:bCs/>
                <w:color w:val="000000"/>
              </w:rPr>
              <w:t>Kế hoạch vốn</w:t>
            </w:r>
          </w:p>
        </w:tc>
      </w:tr>
      <w:tr w:rsidR="004D7FCA" w:rsidRPr="004D7FCA" w:rsidTr="004D7FCA">
        <w:trPr>
          <w:trHeight w:val="49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 </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TỔNG SỐ (A + B)</w:t>
            </w:r>
          </w:p>
        </w:tc>
        <w:tc>
          <w:tcPr>
            <w:tcW w:w="156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center"/>
              <w:rPr>
                <w:b/>
                <w:bCs/>
                <w:color w:val="000000"/>
              </w:rPr>
            </w:pPr>
            <w:r w:rsidRPr="004D7FCA">
              <w:rPr>
                <w:b/>
                <w:bCs/>
                <w:color w:val="000000"/>
              </w:rPr>
              <w:t> </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59.496.37</w:t>
            </w:r>
          </w:p>
        </w:tc>
      </w:tr>
      <w:tr w:rsidR="004D7FCA" w:rsidRPr="004D7FCA" w:rsidTr="004D7FCA">
        <w:trPr>
          <w:trHeight w:val="54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A</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NGUỒN NGÂN SÁCH THÀNH PHỐ</w:t>
            </w:r>
          </w:p>
        </w:tc>
        <w:tc>
          <w:tcPr>
            <w:tcW w:w="156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 </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53.826.20</w:t>
            </w:r>
          </w:p>
        </w:tc>
      </w:tr>
      <w:tr w:rsidR="004D7FCA" w:rsidRPr="004D7FCA" w:rsidTr="004D7FCA">
        <w:trPr>
          <w:trHeight w:val="84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I</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Số phải phân bổ (đủ điều kiện để bố trí KH trung hạn 21-25), giao danh mục chi tiết đợt 1</w:t>
            </w:r>
          </w:p>
        </w:tc>
        <w:tc>
          <w:tcPr>
            <w:tcW w:w="156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750</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27.566.02</w:t>
            </w:r>
          </w:p>
        </w:tc>
      </w:tr>
      <w:tr w:rsidR="004D7FCA" w:rsidRPr="004D7FCA" w:rsidTr="004D7FCA">
        <w:trPr>
          <w:trHeight w:val="84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1</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both"/>
              <w:rPr>
                <w:b/>
                <w:bCs/>
                <w:color w:val="000000"/>
              </w:rPr>
            </w:pPr>
            <w:r w:rsidRPr="004D7FCA">
              <w:rPr>
                <w:b/>
                <w:bCs/>
                <w:color w:val="000000"/>
              </w:rPr>
              <w:t>Bố trí cho các công trình thanh quyết toán và thanh toán khối lượng</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right"/>
              <w:rPr>
                <w:b/>
                <w:bCs/>
                <w:color w:val="000000"/>
              </w:rPr>
            </w:pPr>
            <w:r w:rsidRPr="004D7FCA">
              <w:rPr>
                <w:b/>
                <w:bCs/>
                <w:color w:val="000000"/>
              </w:rPr>
              <w:t>286</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932.4</w:t>
            </w:r>
          </w:p>
        </w:tc>
      </w:tr>
      <w:tr w:rsidR="004D7FCA" w:rsidRPr="004D7FCA" w:rsidTr="004D7FCA">
        <w:trPr>
          <w:trHeight w:val="3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2</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both"/>
              <w:rPr>
                <w:b/>
                <w:bCs/>
                <w:color w:val="000000"/>
              </w:rPr>
            </w:pPr>
            <w:r w:rsidRPr="004D7FCA">
              <w:rPr>
                <w:b/>
                <w:bCs/>
                <w:color w:val="000000"/>
              </w:rPr>
              <w:t>Bố trí cho các công trình chuyển tiếp sang giai đoạn 2021-2025</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right"/>
              <w:rPr>
                <w:b/>
                <w:bCs/>
                <w:color w:val="000000"/>
              </w:rPr>
            </w:pPr>
            <w:r w:rsidRPr="004D7FCA">
              <w:rPr>
                <w:b/>
                <w:bCs/>
                <w:color w:val="000000"/>
              </w:rPr>
              <w:t>274</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12.055.80</w:t>
            </w:r>
          </w:p>
        </w:tc>
      </w:tr>
      <w:tr w:rsidR="004D7FCA" w:rsidRPr="004D7FCA" w:rsidTr="004D7FCA">
        <w:trPr>
          <w:trHeight w:val="6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3</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 xml:space="preserve">Công trình mới của giai đoạn 2021-2025 </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right"/>
              <w:rPr>
                <w:b/>
                <w:bCs/>
                <w:color w:val="000000"/>
              </w:rPr>
            </w:pPr>
            <w:r w:rsidRPr="004D7FCA">
              <w:rPr>
                <w:b/>
                <w:bCs/>
                <w:color w:val="000000"/>
              </w:rPr>
              <w:t>190</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13.491.22</w:t>
            </w:r>
          </w:p>
        </w:tc>
      </w:tr>
      <w:tr w:rsidR="004D7FCA" w:rsidRPr="004D7FCA" w:rsidTr="004D7FCA">
        <w:trPr>
          <w:trHeight w:val="3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 3.1</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both"/>
              <w:rPr>
                <w:color w:val="000000"/>
              </w:rPr>
            </w:pPr>
            <w:r w:rsidRPr="004D7FCA">
              <w:rPr>
                <w:color w:val="000000"/>
              </w:rPr>
              <w:t>Các công trình đã phê duyệt/đã thẩm định chủ trương đầu tư</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right"/>
              <w:rPr>
                <w:color w:val="000000"/>
              </w:rPr>
            </w:pPr>
            <w:r w:rsidRPr="004D7FCA">
              <w:rPr>
                <w:color w:val="000000"/>
              </w:rPr>
              <w:t>190</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color w:val="000000"/>
              </w:rPr>
            </w:pPr>
            <w:r w:rsidRPr="004D7FCA">
              <w:rPr>
                <w:color w:val="000000"/>
              </w:rPr>
              <w:t>12.891.22</w:t>
            </w:r>
          </w:p>
        </w:tc>
      </w:tr>
      <w:tr w:rsidR="004D7FCA" w:rsidRPr="004D7FCA" w:rsidTr="004D7FCA">
        <w:trPr>
          <w:trHeight w:val="6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 3.2</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both"/>
              <w:rPr>
                <w:color w:val="000000"/>
              </w:rPr>
            </w:pPr>
            <w:r w:rsidRPr="004D7FCA">
              <w:rPr>
                <w:color w:val="000000"/>
              </w:rPr>
              <w:t>Vốn chuẩn bị đầu tư, vốn lập nhiệm vụ quy hoạch</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right"/>
              <w:rPr>
                <w:color w:val="000000"/>
              </w:rPr>
            </w:pPr>
            <w:r w:rsidRPr="004D7FCA">
              <w:rPr>
                <w:color w:val="000000"/>
              </w:rPr>
              <w:t> </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color w:val="000000"/>
              </w:rPr>
            </w:pPr>
            <w:r w:rsidRPr="004D7FCA">
              <w:rPr>
                <w:color w:val="000000"/>
              </w:rPr>
              <w:t>600</w:t>
            </w:r>
          </w:p>
        </w:tc>
      </w:tr>
      <w:tr w:rsidR="004D7FCA" w:rsidRPr="004D7FCA" w:rsidTr="000B05F4">
        <w:trPr>
          <w:trHeight w:val="69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4</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Bố trí cho Huyện Hòa Vang</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right"/>
              <w:rPr>
                <w:b/>
                <w:bCs/>
                <w:color w:val="000000"/>
              </w:rPr>
            </w:pPr>
            <w:r w:rsidRPr="004D7FCA">
              <w:rPr>
                <w:b/>
                <w:bCs/>
                <w:color w:val="000000"/>
              </w:rPr>
              <w:t> </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822.6</w:t>
            </w:r>
          </w:p>
        </w:tc>
      </w:tr>
      <w:tr w:rsidR="004D7FCA" w:rsidRPr="004D7FCA" w:rsidTr="000B05F4">
        <w:trPr>
          <w:trHeight w:val="85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lastRenderedPageBreak/>
              <w:t>5</w:t>
            </w:r>
          </w:p>
        </w:tc>
        <w:tc>
          <w:tcPr>
            <w:tcW w:w="8240" w:type="dxa"/>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Chi XDCB vốn tập trung cho các quận (năm 2021) theo Nghị quyết số 119/2020/QH14 ngày 19/6/2021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jc w:val="right"/>
              <w:rPr>
                <w:b/>
                <w:bCs/>
                <w:color w:val="000000"/>
              </w:rPr>
            </w:pPr>
            <w:r w:rsidRPr="004D7FCA">
              <w:rPr>
                <w:b/>
                <w:bCs/>
                <w:color w:val="000000"/>
              </w:rPr>
              <w:t> </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264</w:t>
            </w:r>
          </w:p>
        </w:tc>
      </w:tr>
      <w:tr w:rsidR="004D7FCA" w:rsidRPr="004D7FCA" w:rsidTr="004D7FCA">
        <w:trPr>
          <w:trHeight w:val="67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II</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Dự nguồn</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right"/>
              <w:rPr>
                <w:color w:val="000000"/>
              </w:rPr>
            </w:pPr>
            <w:r w:rsidRPr="004D7FCA">
              <w:rPr>
                <w:color w:val="000000"/>
              </w:rPr>
              <w:t> </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5.949.64</w:t>
            </w:r>
          </w:p>
        </w:tc>
      </w:tr>
      <w:tr w:rsidR="004D7FCA" w:rsidRPr="004D7FCA" w:rsidTr="004D7FCA">
        <w:trPr>
          <w:trHeight w:val="15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III</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Số còn lại để phân bổ cho các dự án chuẩn bị đầu tư đủ thủ tục sẽ được giao trong các đợt điều chỉnh, bổ sung Kế hoạch trung hạn giai đoạn 2021-2025 tại các kỳ họp sau của HĐND thành phố</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right"/>
              <w:rPr>
                <w:b/>
                <w:bCs/>
                <w:color w:val="000000"/>
              </w:rPr>
            </w:pPr>
            <w:r w:rsidRPr="004D7FCA">
              <w:rPr>
                <w:b/>
                <w:bCs/>
                <w:color w:val="000000"/>
              </w:rPr>
              <w:t> </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20.310.54</w:t>
            </w:r>
          </w:p>
        </w:tc>
      </w:tr>
      <w:tr w:rsidR="004D7FCA" w:rsidRPr="004D7FCA" w:rsidTr="004D7FCA">
        <w:trPr>
          <w:trHeight w:val="84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 </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Trong đó: dự kiến bố trí các công trình dân sinh cho các quận theo Nghị quyết số 119/2020/QH14 ngày 19/6/2021</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right"/>
              <w:rPr>
                <w:b/>
                <w:bCs/>
                <w:color w:val="000000"/>
              </w:rPr>
            </w:pPr>
            <w:r w:rsidRPr="004D7FCA">
              <w:rPr>
                <w:b/>
                <w:bCs/>
                <w:color w:val="000000"/>
              </w:rPr>
              <w:t> </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color w:val="000000"/>
              </w:rPr>
            </w:pPr>
            <w:r w:rsidRPr="004D7FCA">
              <w:rPr>
                <w:color w:val="000000"/>
              </w:rPr>
              <w:t>4.200.00</w:t>
            </w:r>
          </w:p>
        </w:tc>
      </w:tr>
      <w:tr w:rsidR="004D7FCA" w:rsidRPr="004D7FCA" w:rsidTr="004D7FCA">
        <w:trPr>
          <w:trHeight w:val="6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B</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NGUỒN NGÂN SÁCH TRUNG ƯƠNG</w:t>
            </w:r>
          </w:p>
        </w:tc>
        <w:tc>
          <w:tcPr>
            <w:tcW w:w="156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center"/>
              <w:rPr>
                <w:b/>
                <w:bCs/>
                <w:color w:val="000000"/>
              </w:rPr>
            </w:pPr>
            <w:r w:rsidRPr="004D7FCA">
              <w:rPr>
                <w:b/>
                <w:bCs/>
                <w:color w:val="000000"/>
              </w:rPr>
              <w:t>21</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5.670.17</w:t>
            </w:r>
          </w:p>
        </w:tc>
      </w:tr>
      <w:tr w:rsidR="004D7FCA" w:rsidRPr="004D7FCA" w:rsidTr="004D7FCA">
        <w:trPr>
          <w:trHeight w:val="6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I</w:t>
            </w:r>
          </w:p>
        </w:tc>
        <w:tc>
          <w:tcPr>
            <w:tcW w:w="824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Nguồn vốn ngân sách trung ương trong nước</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4D7FCA" w:rsidRPr="004D7FCA" w:rsidRDefault="004D7FCA" w:rsidP="004D7FCA">
            <w:pPr>
              <w:jc w:val="center"/>
              <w:rPr>
                <w:b/>
                <w:bCs/>
                <w:color w:val="000000"/>
              </w:rPr>
            </w:pPr>
            <w:r w:rsidRPr="004D7FCA">
              <w:rPr>
                <w:b/>
                <w:bCs/>
                <w:color w:val="000000"/>
              </w:rPr>
              <w:t>20</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5.340.17</w:t>
            </w:r>
          </w:p>
        </w:tc>
      </w:tr>
      <w:tr w:rsidR="004D7FCA" w:rsidRPr="004D7FCA" w:rsidTr="004D7FCA">
        <w:trPr>
          <w:trHeight w:val="64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1</w:t>
            </w:r>
          </w:p>
        </w:tc>
        <w:tc>
          <w:tcPr>
            <w:tcW w:w="8240" w:type="dxa"/>
            <w:tcBorders>
              <w:top w:val="nil"/>
              <w:left w:val="nil"/>
              <w:bottom w:val="nil"/>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Nguồn trung ương hỗ trợ có mục tiêu</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17</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2.113.17</w:t>
            </w:r>
          </w:p>
        </w:tc>
      </w:tr>
      <w:tr w:rsidR="004D7FCA" w:rsidRPr="004D7FCA" w:rsidTr="004D7FCA">
        <w:trPr>
          <w:trHeight w:val="82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a)</w:t>
            </w:r>
          </w:p>
        </w:tc>
        <w:tc>
          <w:tcPr>
            <w:tcW w:w="8240" w:type="dxa"/>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Số phải phân bổ (đủ điều kiện để bố trí KH trung hạn 21-25), giao danh mục chi tiết đợt này</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13</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color w:val="000000"/>
              </w:rPr>
            </w:pPr>
            <w:r w:rsidRPr="004D7FCA">
              <w:rPr>
                <w:color w:val="000000"/>
              </w:rPr>
              <w:t>1.520.73</w:t>
            </w:r>
          </w:p>
        </w:tc>
      </w:tr>
      <w:tr w:rsidR="004D7FCA" w:rsidRPr="004D7FCA" w:rsidTr="004D7FCA">
        <w:trPr>
          <w:trHeight w:val="76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(1)</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Thu hồi các khoản vốn ứng trước trong kế hoạch đầu tư trung hạn vốn ngân sách trung ương giai đoạn 2016-2020</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3</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color w:val="000000"/>
              </w:rPr>
            </w:pPr>
            <w:r w:rsidRPr="004D7FCA">
              <w:rPr>
                <w:color w:val="000000"/>
              </w:rPr>
              <w:t>133.77</w:t>
            </w:r>
          </w:p>
        </w:tc>
      </w:tr>
      <w:tr w:rsidR="004D7FCA" w:rsidRPr="004D7FCA" w:rsidTr="004D7FCA">
        <w:trPr>
          <w:trHeight w:val="73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(2)</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Các dự án chuyển tiếp từ giai đoạn 2016-2020 sang giai đoạn 2021-2025</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8</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color w:val="000000"/>
              </w:rPr>
            </w:pPr>
            <w:r w:rsidRPr="004D7FCA">
              <w:rPr>
                <w:color w:val="000000"/>
              </w:rPr>
              <w:t>302.60</w:t>
            </w:r>
          </w:p>
        </w:tc>
      </w:tr>
      <w:tr w:rsidR="004D7FCA" w:rsidRPr="004D7FCA" w:rsidTr="000B05F4">
        <w:trPr>
          <w:trHeight w:val="75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(3)</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Các công trình khởi công mới đã được phê duyệt chủ trương đầu tư và đủ điều kiện bố trí vốn</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2</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color w:val="000000"/>
              </w:rPr>
            </w:pPr>
            <w:r w:rsidRPr="004D7FCA">
              <w:rPr>
                <w:color w:val="000000"/>
              </w:rPr>
              <w:t>1.084.36</w:t>
            </w:r>
          </w:p>
        </w:tc>
      </w:tr>
      <w:tr w:rsidR="004D7FCA" w:rsidRPr="004D7FCA" w:rsidTr="000B05F4">
        <w:trPr>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lastRenderedPageBreak/>
              <w:t>b)</w:t>
            </w:r>
          </w:p>
        </w:tc>
        <w:tc>
          <w:tcPr>
            <w:tcW w:w="8240" w:type="dxa"/>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rPr>
                <w:color w:val="000000"/>
              </w:rPr>
            </w:pPr>
            <w:r w:rsidRPr="004D7FCA">
              <w:rPr>
                <w:color w:val="000000"/>
              </w:rPr>
              <w:t>Số còn lại để phân bổ sau khi đảm bảo thủ tục theo quy định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color w:val="000000"/>
              </w:rPr>
            </w:pPr>
            <w:r w:rsidRPr="004D7FCA">
              <w:rPr>
                <w:color w:val="000000"/>
              </w:rPr>
              <w:t>4</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color w:val="000000"/>
              </w:rPr>
            </w:pPr>
            <w:r w:rsidRPr="004D7FCA">
              <w:rPr>
                <w:color w:val="000000"/>
              </w:rPr>
              <w:t>592.44</w:t>
            </w:r>
          </w:p>
        </w:tc>
      </w:tr>
      <w:tr w:rsidR="004D7FCA" w:rsidRPr="004D7FCA" w:rsidTr="004D7FCA">
        <w:trPr>
          <w:trHeight w:val="82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2</w:t>
            </w:r>
          </w:p>
        </w:tc>
        <w:tc>
          <w:tcPr>
            <w:tcW w:w="824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rPr>
                <w:b/>
                <w:bCs/>
                <w:color w:val="000000"/>
              </w:rPr>
            </w:pPr>
            <w:r w:rsidRPr="004D7FCA">
              <w:rPr>
                <w:b/>
                <w:bCs/>
                <w:color w:val="000000"/>
              </w:rPr>
              <w:t>Vốn ngân sách trung ương đầu tư các các dự án trọng điểm, dự án có tính liên kết vùng, đường ven biển</w:t>
            </w:r>
          </w:p>
        </w:tc>
        <w:tc>
          <w:tcPr>
            <w:tcW w:w="1560" w:type="dxa"/>
            <w:tcBorders>
              <w:top w:val="nil"/>
              <w:left w:val="nil"/>
              <w:bottom w:val="single" w:sz="4" w:space="0" w:color="auto"/>
              <w:right w:val="single" w:sz="4" w:space="0" w:color="auto"/>
            </w:tcBorders>
            <w:shd w:val="clear" w:color="auto" w:fill="auto"/>
            <w:vAlign w:val="center"/>
            <w:hideMark/>
          </w:tcPr>
          <w:p w:rsidR="004D7FCA" w:rsidRPr="004D7FCA" w:rsidRDefault="004D7FCA" w:rsidP="004D7FCA">
            <w:pPr>
              <w:jc w:val="center"/>
              <w:rPr>
                <w:b/>
                <w:bCs/>
                <w:color w:val="000000"/>
              </w:rPr>
            </w:pPr>
            <w:r w:rsidRPr="004D7FCA">
              <w:rPr>
                <w:b/>
                <w:bCs/>
                <w:color w:val="000000"/>
              </w:rPr>
              <w:t>3</w:t>
            </w:r>
          </w:p>
        </w:tc>
        <w:tc>
          <w:tcPr>
            <w:tcW w:w="2140" w:type="dxa"/>
            <w:tcBorders>
              <w:top w:val="nil"/>
              <w:left w:val="nil"/>
              <w:bottom w:val="single" w:sz="4" w:space="0" w:color="auto"/>
              <w:right w:val="single" w:sz="4" w:space="0" w:color="auto"/>
            </w:tcBorders>
            <w:shd w:val="clear" w:color="000000" w:fill="FFFFFF"/>
            <w:vAlign w:val="center"/>
            <w:hideMark/>
          </w:tcPr>
          <w:p w:rsidR="004D7FCA" w:rsidRPr="004D7FCA" w:rsidRDefault="004D7FCA" w:rsidP="004D7FCA">
            <w:pPr>
              <w:jc w:val="right"/>
              <w:rPr>
                <w:b/>
                <w:bCs/>
                <w:color w:val="000000"/>
              </w:rPr>
            </w:pPr>
            <w:r w:rsidRPr="004D7FCA">
              <w:rPr>
                <w:b/>
                <w:bCs/>
                <w:color w:val="000000"/>
              </w:rPr>
              <w:t>3.227.00</w:t>
            </w:r>
          </w:p>
        </w:tc>
      </w:tr>
    </w:tbl>
    <w:p w:rsidR="004D7FCA" w:rsidRPr="00AC0411" w:rsidRDefault="004D7FCA"/>
    <w:sectPr w:rsidR="004D7FCA" w:rsidRPr="00AC0411" w:rsidSect="00AC0411">
      <w:pgSz w:w="16840" w:h="11907" w:orient="landscape" w:code="9"/>
      <w:pgMar w:top="1134" w:right="1134" w:bottom="1134" w:left="147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4D7FCA"/>
    <w:rsid w:val="000B05F4"/>
    <w:rsid w:val="00335F76"/>
    <w:rsid w:val="004D7FCA"/>
    <w:rsid w:val="00662526"/>
    <w:rsid w:val="00AC04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494261">
      <w:bodyDiv w:val="1"/>
      <w:marLeft w:val="0"/>
      <w:marRight w:val="0"/>
      <w:marTop w:val="0"/>
      <w:marBottom w:val="0"/>
      <w:divBdr>
        <w:top w:val="none" w:sz="0" w:space="0" w:color="auto"/>
        <w:left w:val="none" w:sz="0" w:space="0" w:color="auto"/>
        <w:bottom w:val="none" w:sz="0" w:space="0" w:color="auto"/>
        <w:right w:val="none" w:sz="0" w:space="0" w:color="auto"/>
      </w:divBdr>
    </w:div>
    <w:div w:id="186339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2021-10-08T03:39:00Z</dcterms:created>
  <dcterms:modified xsi:type="dcterms:W3CDTF">2021-10-12T03:19:00Z</dcterms:modified>
</cp:coreProperties>
</file>