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2" w:type="dxa"/>
        <w:tblInd w:w="-176" w:type="dxa"/>
        <w:tblLook w:val="04A0"/>
      </w:tblPr>
      <w:tblGrid>
        <w:gridCol w:w="851"/>
        <w:gridCol w:w="4165"/>
        <w:gridCol w:w="2495"/>
        <w:gridCol w:w="2891"/>
      </w:tblGrid>
      <w:tr w:rsidR="00CC5AE0" w:rsidRPr="00CC5AE0" w:rsidTr="00BA3922">
        <w:trPr>
          <w:trHeight w:val="405"/>
        </w:trPr>
        <w:tc>
          <w:tcPr>
            <w:tcW w:w="10402" w:type="dxa"/>
            <w:gridSpan w:val="4"/>
            <w:tcBorders>
              <w:top w:val="nil"/>
              <w:left w:val="nil"/>
              <w:bottom w:val="nil"/>
              <w:right w:val="nil"/>
            </w:tcBorders>
            <w:shd w:val="clear" w:color="auto" w:fill="auto"/>
            <w:noWrap/>
            <w:vAlign w:val="bottom"/>
            <w:hideMark/>
          </w:tcPr>
          <w:p w:rsidR="00CC5AE0" w:rsidRPr="00CC5AE0" w:rsidRDefault="00CC5AE0" w:rsidP="00CC5AE0">
            <w:pPr>
              <w:jc w:val="center"/>
              <w:rPr>
                <w:b/>
                <w:bCs/>
                <w:color w:val="000000"/>
                <w:sz w:val="32"/>
                <w:szCs w:val="32"/>
              </w:rPr>
            </w:pPr>
            <w:r w:rsidRPr="00CC5AE0">
              <w:rPr>
                <w:b/>
                <w:bCs/>
                <w:color w:val="000000"/>
                <w:sz w:val="32"/>
                <w:szCs w:val="32"/>
              </w:rPr>
              <w:t>Phụ lục:</w:t>
            </w:r>
          </w:p>
        </w:tc>
      </w:tr>
      <w:tr w:rsidR="00CC5AE0" w:rsidRPr="00CC5AE0" w:rsidTr="00BA3922">
        <w:trPr>
          <w:trHeight w:val="855"/>
        </w:trPr>
        <w:tc>
          <w:tcPr>
            <w:tcW w:w="10402" w:type="dxa"/>
            <w:gridSpan w:val="4"/>
            <w:tcBorders>
              <w:top w:val="nil"/>
              <w:left w:val="nil"/>
              <w:bottom w:val="nil"/>
              <w:right w:val="nil"/>
            </w:tcBorders>
            <w:shd w:val="clear" w:color="auto" w:fill="auto"/>
            <w:vAlign w:val="center"/>
            <w:hideMark/>
          </w:tcPr>
          <w:p w:rsidR="00CC5AE0" w:rsidRPr="00CC5AE0" w:rsidRDefault="00CC5AE0" w:rsidP="00CC5AE0">
            <w:pPr>
              <w:jc w:val="center"/>
              <w:rPr>
                <w:b/>
                <w:bCs/>
                <w:color w:val="000000"/>
              </w:rPr>
            </w:pPr>
            <w:r w:rsidRPr="00CC5AE0">
              <w:rPr>
                <w:b/>
                <w:bCs/>
                <w:color w:val="000000"/>
              </w:rPr>
              <w:t xml:space="preserve"> QUY ĐỊNH CHẾ ĐỘ HỖ TRỢ ĐẶC THÙ CHO LỰC LƯỢNG THAM GIA PHÒNG, CHỐNG DỊCH COVID-19 TRÊN ĐỊA BÀN THÀNH PHỐ ĐÀ NẴNG</w:t>
            </w:r>
          </w:p>
        </w:tc>
      </w:tr>
      <w:tr w:rsidR="00CC5AE0" w:rsidRPr="00CC5AE0" w:rsidTr="00BA3922">
        <w:trPr>
          <w:trHeight w:val="735"/>
        </w:trPr>
        <w:tc>
          <w:tcPr>
            <w:tcW w:w="10402" w:type="dxa"/>
            <w:gridSpan w:val="4"/>
            <w:tcBorders>
              <w:top w:val="nil"/>
              <w:left w:val="nil"/>
              <w:bottom w:val="nil"/>
              <w:right w:val="nil"/>
            </w:tcBorders>
            <w:shd w:val="clear" w:color="auto" w:fill="auto"/>
            <w:vAlign w:val="center"/>
            <w:hideMark/>
          </w:tcPr>
          <w:p w:rsidR="00CC5AE0" w:rsidRPr="00CC5AE0" w:rsidRDefault="002B5A06" w:rsidP="00CC5AE0">
            <w:pPr>
              <w:jc w:val="center"/>
              <w:rPr>
                <w:i/>
                <w:iCs/>
                <w:color w:val="000000"/>
              </w:rPr>
            </w:pPr>
            <w:r>
              <w:rPr>
                <w:i/>
                <w:iCs/>
                <w:color w:val="000000"/>
              </w:rPr>
              <w:t xml:space="preserve">(Kèm theo Nghị quyết số  39 /2021/NQ-HĐND ngày 12 </w:t>
            </w:r>
            <w:r w:rsidR="00CC5AE0" w:rsidRPr="00CC5AE0">
              <w:rPr>
                <w:i/>
                <w:iCs/>
                <w:color w:val="000000"/>
              </w:rPr>
              <w:t>tháng 8 năm 2021                                                                      của Hội đồng nhân dân thành phố)</w:t>
            </w:r>
          </w:p>
        </w:tc>
      </w:tr>
      <w:tr w:rsidR="00CC5AE0" w:rsidRPr="00CC5AE0" w:rsidTr="00BA3922">
        <w:trPr>
          <w:trHeight w:val="390"/>
        </w:trPr>
        <w:tc>
          <w:tcPr>
            <w:tcW w:w="851" w:type="dxa"/>
            <w:tcBorders>
              <w:top w:val="nil"/>
              <w:left w:val="nil"/>
              <w:bottom w:val="nil"/>
              <w:right w:val="nil"/>
            </w:tcBorders>
            <w:shd w:val="clear" w:color="auto" w:fill="auto"/>
            <w:noWrap/>
            <w:vAlign w:val="bottom"/>
            <w:hideMark/>
          </w:tcPr>
          <w:p w:rsidR="00CC5AE0" w:rsidRPr="00CC5AE0" w:rsidRDefault="00CC5AE0" w:rsidP="00CC5AE0">
            <w:pPr>
              <w:rPr>
                <w:color w:val="000000"/>
                <w:sz w:val="28"/>
                <w:szCs w:val="28"/>
              </w:rPr>
            </w:pPr>
          </w:p>
        </w:tc>
        <w:tc>
          <w:tcPr>
            <w:tcW w:w="4165" w:type="dxa"/>
            <w:tcBorders>
              <w:top w:val="nil"/>
              <w:left w:val="nil"/>
              <w:bottom w:val="nil"/>
              <w:right w:val="nil"/>
            </w:tcBorders>
            <w:shd w:val="clear" w:color="auto" w:fill="auto"/>
            <w:noWrap/>
            <w:vAlign w:val="bottom"/>
            <w:hideMark/>
          </w:tcPr>
          <w:p w:rsidR="00CC5AE0" w:rsidRPr="00CC5AE0" w:rsidRDefault="00CC5AE0" w:rsidP="00CC5AE0">
            <w:pPr>
              <w:rPr>
                <w:color w:val="000000"/>
                <w:sz w:val="28"/>
                <w:szCs w:val="28"/>
              </w:rPr>
            </w:pPr>
          </w:p>
        </w:tc>
        <w:tc>
          <w:tcPr>
            <w:tcW w:w="2495" w:type="dxa"/>
            <w:tcBorders>
              <w:top w:val="nil"/>
              <w:left w:val="nil"/>
              <w:bottom w:val="nil"/>
              <w:right w:val="nil"/>
            </w:tcBorders>
            <w:shd w:val="clear" w:color="auto" w:fill="auto"/>
            <w:noWrap/>
            <w:vAlign w:val="bottom"/>
            <w:hideMark/>
          </w:tcPr>
          <w:p w:rsidR="00CC5AE0" w:rsidRPr="00CC5AE0" w:rsidRDefault="00CC5AE0" w:rsidP="00CC5AE0">
            <w:pPr>
              <w:jc w:val="center"/>
              <w:rPr>
                <w:i/>
                <w:iCs/>
                <w:color w:val="000000"/>
                <w:sz w:val="28"/>
                <w:szCs w:val="28"/>
              </w:rPr>
            </w:pPr>
          </w:p>
        </w:tc>
        <w:tc>
          <w:tcPr>
            <w:tcW w:w="2891" w:type="dxa"/>
            <w:tcBorders>
              <w:top w:val="nil"/>
              <w:left w:val="nil"/>
              <w:bottom w:val="nil"/>
              <w:right w:val="nil"/>
            </w:tcBorders>
            <w:shd w:val="clear" w:color="auto" w:fill="auto"/>
            <w:noWrap/>
            <w:vAlign w:val="bottom"/>
            <w:hideMark/>
          </w:tcPr>
          <w:p w:rsidR="00CC5AE0" w:rsidRPr="00CC5AE0" w:rsidRDefault="00CC5AE0" w:rsidP="00CC5AE0">
            <w:pPr>
              <w:jc w:val="center"/>
              <w:rPr>
                <w:i/>
                <w:iCs/>
                <w:color w:val="000000"/>
              </w:rPr>
            </w:pPr>
            <w:r w:rsidRPr="00CC5AE0">
              <w:rPr>
                <w:i/>
                <w:iCs/>
                <w:color w:val="000000"/>
              </w:rPr>
              <w:t>Đơn vị tính: Đồng</w:t>
            </w:r>
          </w:p>
        </w:tc>
      </w:tr>
      <w:tr w:rsidR="00CC5AE0" w:rsidRPr="00CC5AE0" w:rsidTr="00BA3922">
        <w:trPr>
          <w:trHeight w:val="52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AE0" w:rsidRPr="00CC5AE0" w:rsidRDefault="00CC5AE0" w:rsidP="00CC5AE0">
            <w:pPr>
              <w:jc w:val="center"/>
              <w:rPr>
                <w:b/>
                <w:bCs/>
                <w:color w:val="000000"/>
              </w:rPr>
            </w:pPr>
            <w:r w:rsidRPr="00CC5AE0">
              <w:rPr>
                <w:b/>
                <w:bCs/>
                <w:color w:val="000000"/>
              </w:rPr>
              <w:t>STT</w:t>
            </w:r>
          </w:p>
        </w:tc>
        <w:tc>
          <w:tcPr>
            <w:tcW w:w="4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AE0" w:rsidRPr="00CC5AE0" w:rsidRDefault="00CC5AE0" w:rsidP="00CC5AE0">
            <w:pPr>
              <w:jc w:val="center"/>
              <w:rPr>
                <w:b/>
                <w:bCs/>
                <w:color w:val="000000"/>
              </w:rPr>
            </w:pPr>
            <w:r w:rsidRPr="00CC5AE0">
              <w:rPr>
                <w:b/>
                <w:bCs/>
                <w:color w:val="000000"/>
              </w:rPr>
              <w:t>Đối tượng hỗ trợ</w:t>
            </w:r>
          </w:p>
        </w:tc>
        <w:tc>
          <w:tcPr>
            <w:tcW w:w="2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5AE0" w:rsidRPr="00CC5AE0" w:rsidRDefault="00CC5AE0" w:rsidP="00CC5AE0">
            <w:pPr>
              <w:jc w:val="center"/>
              <w:rPr>
                <w:b/>
                <w:bCs/>
                <w:color w:val="000000"/>
              </w:rPr>
            </w:pPr>
            <w:r w:rsidRPr="00CC5AE0">
              <w:rPr>
                <w:b/>
                <w:bCs/>
                <w:color w:val="000000"/>
              </w:rPr>
              <w:t>Mức hỗ trợ</w:t>
            </w:r>
          </w:p>
        </w:tc>
        <w:tc>
          <w:tcPr>
            <w:tcW w:w="2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AE0" w:rsidRPr="00CC5AE0" w:rsidRDefault="00CC5AE0" w:rsidP="00CC5AE0">
            <w:pPr>
              <w:jc w:val="center"/>
              <w:rPr>
                <w:b/>
                <w:bCs/>
                <w:color w:val="000000"/>
              </w:rPr>
            </w:pPr>
            <w:r w:rsidRPr="00CC5AE0">
              <w:rPr>
                <w:b/>
                <w:bCs/>
                <w:color w:val="000000"/>
              </w:rPr>
              <w:t>Ghi chú</w:t>
            </w:r>
          </w:p>
        </w:tc>
      </w:tr>
      <w:tr w:rsidR="00CC5AE0" w:rsidRPr="00CC5AE0" w:rsidTr="00BA3922">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C5AE0" w:rsidRPr="00CC5AE0" w:rsidRDefault="00CC5AE0" w:rsidP="00CC5AE0">
            <w:pPr>
              <w:rPr>
                <w:b/>
                <w:bCs/>
                <w:color w:val="000000"/>
              </w:rPr>
            </w:pPr>
          </w:p>
        </w:tc>
        <w:tc>
          <w:tcPr>
            <w:tcW w:w="4165" w:type="dxa"/>
            <w:vMerge/>
            <w:tcBorders>
              <w:top w:val="single" w:sz="4" w:space="0" w:color="auto"/>
              <w:left w:val="single" w:sz="4" w:space="0" w:color="auto"/>
              <w:bottom w:val="single" w:sz="4" w:space="0" w:color="auto"/>
              <w:right w:val="single" w:sz="4" w:space="0" w:color="auto"/>
            </w:tcBorders>
            <w:vAlign w:val="center"/>
            <w:hideMark/>
          </w:tcPr>
          <w:p w:rsidR="00CC5AE0" w:rsidRPr="00CC5AE0" w:rsidRDefault="00CC5AE0" w:rsidP="00CC5AE0">
            <w:pPr>
              <w:rPr>
                <w:b/>
                <w:bCs/>
                <w:color w:val="000000"/>
              </w:rPr>
            </w:pPr>
          </w:p>
        </w:tc>
        <w:tc>
          <w:tcPr>
            <w:tcW w:w="2495" w:type="dxa"/>
            <w:vMerge/>
            <w:tcBorders>
              <w:top w:val="single" w:sz="4" w:space="0" w:color="auto"/>
              <w:left w:val="single" w:sz="4" w:space="0" w:color="auto"/>
              <w:bottom w:val="single" w:sz="4" w:space="0" w:color="000000"/>
              <w:right w:val="single" w:sz="4" w:space="0" w:color="auto"/>
            </w:tcBorders>
            <w:vAlign w:val="center"/>
            <w:hideMark/>
          </w:tcPr>
          <w:p w:rsidR="00CC5AE0" w:rsidRPr="00CC5AE0" w:rsidRDefault="00CC5AE0" w:rsidP="00CC5AE0">
            <w:pPr>
              <w:rPr>
                <w:b/>
                <w:bCs/>
                <w:color w:val="000000"/>
              </w:rPr>
            </w:pPr>
          </w:p>
        </w:tc>
        <w:tc>
          <w:tcPr>
            <w:tcW w:w="2891" w:type="dxa"/>
            <w:vMerge/>
            <w:tcBorders>
              <w:top w:val="single" w:sz="4" w:space="0" w:color="auto"/>
              <w:left w:val="single" w:sz="4" w:space="0" w:color="auto"/>
              <w:bottom w:val="single" w:sz="4" w:space="0" w:color="auto"/>
              <w:right w:val="single" w:sz="4" w:space="0" w:color="auto"/>
            </w:tcBorders>
            <w:vAlign w:val="center"/>
            <w:hideMark/>
          </w:tcPr>
          <w:p w:rsidR="00CC5AE0" w:rsidRPr="00CC5AE0" w:rsidRDefault="00CC5AE0" w:rsidP="00CC5AE0">
            <w:pPr>
              <w:rPr>
                <w:b/>
                <w:bCs/>
                <w:color w:val="000000"/>
              </w:rPr>
            </w:pPr>
          </w:p>
        </w:tc>
      </w:tr>
      <w:tr w:rsidR="00CC5AE0" w:rsidRPr="00CC5AE0" w:rsidTr="00BA3922">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b/>
                <w:bCs/>
                <w:color w:val="000000"/>
              </w:rPr>
            </w:pPr>
            <w:r w:rsidRPr="00CC5AE0">
              <w:rPr>
                <w:b/>
                <w:bCs/>
                <w:color w:val="000000"/>
              </w:rPr>
              <w:t>I</w:t>
            </w:r>
          </w:p>
        </w:tc>
        <w:tc>
          <w:tcPr>
            <w:tcW w:w="416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b/>
                <w:bCs/>
                <w:color w:val="000000"/>
              </w:rPr>
            </w:pPr>
            <w:r w:rsidRPr="00CC5AE0">
              <w:rPr>
                <w:b/>
                <w:bCs/>
                <w:color w:val="000000"/>
              </w:rPr>
              <w:t xml:space="preserve">Về chế độ phụ cấp chống dịch </w:t>
            </w:r>
          </w:p>
        </w:tc>
        <w:tc>
          <w:tcPr>
            <w:tcW w:w="249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jc w:val="center"/>
              <w:rPr>
                <w:b/>
                <w:bCs/>
                <w:color w:val="000000"/>
              </w:rPr>
            </w:pPr>
            <w:r w:rsidRPr="00CC5AE0">
              <w:rPr>
                <w:b/>
                <w:bCs/>
                <w:color w:val="000000"/>
              </w:rPr>
              <w:t> </w:t>
            </w:r>
          </w:p>
        </w:tc>
        <w:tc>
          <w:tcPr>
            <w:tcW w:w="2891"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 </w:t>
            </w:r>
          </w:p>
        </w:tc>
      </w:tr>
      <w:tr w:rsidR="00CC5AE0" w:rsidRPr="00CC5AE0" w:rsidTr="00BA3922">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color w:val="000000"/>
              </w:rPr>
            </w:pPr>
            <w:r w:rsidRPr="00CC5AE0">
              <w:rPr>
                <w:color w:val="000000"/>
              </w:rPr>
              <w:t>1</w:t>
            </w:r>
          </w:p>
        </w:tc>
        <w:tc>
          <w:tcPr>
            <w:tcW w:w="416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Người đi giám sát, điều tra, xác minh dịch</w:t>
            </w:r>
          </w:p>
        </w:tc>
        <w:tc>
          <w:tcPr>
            <w:tcW w:w="2495" w:type="dxa"/>
            <w:vMerge w:val="restart"/>
            <w:tcBorders>
              <w:top w:val="nil"/>
              <w:left w:val="single" w:sz="4" w:space="0" w:color="auto"/>
              <w:bottom w:val="single" w:sz="4" w:space="0" w:color="000000"/>
              <w:right w:val="single" w:sz="4" w:space="0" w:color="auto"/>
            </w:tcBorders>
            <w:shd w:val="clear" w:color="auto" w:fill="auto"/>
            <w:vAlign w:val="center"/>
            <w:hideMark/>
          </w:tcPr>
          <w:p w:rsidR="00CC5AE0" w:rsidRPr="00CC5AE0" w:rsidRDefault="00CC5AE0" w:rsidP="00CC5AE0">
            <w:pPr>
              <w:jc w:val="center"/>
              <w:rPr>
                <w:color w:val="000000"/>
              </w:rPr>
            </w:pPr>
            <w:r w:rsidRPr="00CC5AE0">
              <w:rPr>
                <w:color w:val="000000"/>
              </w:rPr>
              <w:t>450.000 đồng/người/ngày</w:t>
            </w:r>
          </w:p>
        </w:tc>
        <w:tc>
          <w:tcPr>
            <w:tcW w:w="2891" w:type="dxa"/>
            <w:vMerge w:val="restart"/>
            <w:tcBorders>
              <w:top w:val="nil"/>
              <w:left w:val="single" w:sz="4" w:space="0" w:color="auto"/>
              <w:bottom w:val="single" w:sz="4" w:space="0" w:color="auto"/>
              <w:right w:val="single" w:sz="4" w:space="0" w:color="auto"/>
            </w:tcBorders>
            <w:shd w:val="clear" w:color="auto" w:fill="auto"/>
            <w:vAlign w:val="center"/>
            <w:hideMark/>
          </w:tcPr>
          <w:p w:rsidR="00CC5AE0" w:rsidRPr="00CC5AE0" w:rsidRDefault="00CC5AE0" w:rsidP="00CC5AE0">
            <w:pPr>
              <w:jc w:val="center"/>
              <w:rPr>
                <w:color w:val="000000"/>
              </w:rPr>
            </w:pPr>
            <w:r w:rsidRPr="00CC5AE0">
              <w:rPr>
                <w:color w:val="000000"/>
              </w:rPr>
              <w:t xml:space="preserve">Đã bao gồm chế độ phụ cấp chống dịch theo Nghị quyết số 16/NQ-CP ngày 08/02/2021 của Chính phủ. </w:t>
            </w:r>
          </w:p>
        </w:tc>
      </w:tr>
      <w:tr w:rsidR="00CC5AE0" w:rsidRPr="00CC5AE0" w:rsidTr="00BA3922">
        <w:trPr>
          <w:trHeight w:val="10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color w:val="000000"/>
              </w:rPr>
            </w:pPr>
            <w:r w:rsidRPr="00CC5AE0">
              <w:rPr>
                <w:color w:val="000000"/>
              </w:rPr>
              <w:t>2</w:t>
            </w:r>
          </w:p>
        </w:tc>
        <w:tc>
          <w:tcPr>
            <w:tcW w:w="416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Người làm công việc lấy mẫu, gộp mẫu, phân tách mẫu, người trực tiếp làm xét nghiệm Sar-Cov-2 tại cơ sở y tế</w:t>
            </w:r>
          </w:p>
        </w:tc>
        <w:tc>
          <w:tcPr>
            <w:tcW w:w="2495" w:type="dxa"/>
            <w:vMerge/>
            <w:tcBorders>
              <w:top w:val="nil"/>
              <w:left w:val="single" w:sz="4" w:space="0" w:color="auto"/>
              <w:bottom w:val="single" w:sz="4" w:space="0" w:color="000000"/>
              <w:right w:val="single" w:sz="4" w:space="0" w:color="auto"/>
            </w:tcBorders>
            <w:vAlign w:val="center"/>
            <w:hideMark/>
          </w:tcPr>
          <w:p w:rsidR="00CC5AE0" w:rsidRPr="00CC5AE0" w:rsidRDefault="00CC5AE0" w:rsidP="00CC5AE0">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rsidR="00CC5AE0" w:rsidRPr="00CC5AE0" w:rsidRDefault="00CC5AE0" w:rsidP="00CC5AE0">
            <w:pPr>
              <w:rPr>
                <w:color w:val="000000"/>
              </w:rPr>
            </w:pPr>
          </w:p>
        </w:tc>
      </w:tr>
      <w:tr w:rsidR="00CC5AE0" w:rsidRPr="00CC5AE0" w:rsidTr="00BA3922">
        <w:trPr>
          <w:trHeight w:val="10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color w:val="000000"/>
              </w:rPr>
            </w:pPr>
            <w:r w:rsidRPr="00CC5AE0">
              <w:rPr>
                <w:color w:val="000000"/>
              </w:rPr>
              <w:t>3</w:t>
            </w:r>
          </w:p>
        </w:tc>
        <w:tc>
          <w:tcPr>
            <w:tcW w:w="416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Người trực tiếp khám, chẩn đoán, điều trị người mắc COVID-19. nghi mắc COVID-19 tại khu vực cách ly của cơ sở khám bệnh, chữa bệnh</w:t>
            </w:r>
          </w:p>
        </w:tc>
        <w:tc>
          <w:tcPr>
            <w:tcW w:w="2495" w:type="dxa"/>
            <w:vMerge/>
            <w:tcBorders>
              <w:top w:val="nil"/>
              <w:left w:val="single" w:sz="4" w:space="0" w:color="auto"/>
              <w:bottom w:val="single" w:sz="4" w:space="0" w:color="000000"/>
              <w:right w:val="single" w:sz="4" w:space="0" w:color="auto"/>
            </w:tcBorders>
            <w:vAlign w:val="center"/>
            <w:hideMark/>
          </w:tcPr>
          <w:p w:rsidR="00CC5AE0" w:rsidRPr="00CC5AE0" w:rsidRDefault="00CC5AE0" w:rsidP="00CC5AE0">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rsidR="00CC5AE0" w:rsidRPr="00CC5AE0" w:rsidRDefault="00CC5AE0" w:rsidP="00CC5AE0">
            <w:pPr>
              <w:rPr>
                <w:color w:val="000000"/>
              </w:rPr>
            </w:pPr>
          </w:p>
        </w:tc>
      </w:tr>
      <w:tr w:rsidR="00CC5AE0" w:rsidRPr="00CC5AE0" w:rsidTr="00BA3922">
        <w:trPr>
          <w:trHeight w:val="7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color w:val="000000"/>
              </w:rPr>
            </w:pPr>
            <w:r w:rsidRPr="00CC5AE0">
              <w:rPr>
                <w:color w:val="000000"/>
              </w:rPr>
              <w:t>4</w:t>
            </w:r>
          </w:p>
        </w:tc>
        <w:tc>
          <w:tcPr>
            <w:tcW w:w="416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Người làm công việc vệ sinh, tẩy uế, diệt tác nhân, gây bệnh tại khu điều trị người mắc COVID-19</w:t>
            </w:r>
          </w:p>
        </w:tc>
        <w:tc>
          <w:tcPr>
            <w:tcW w:w="2495" w:type="dxa"/>
            <w:vMerge/>
            <w:tcBorders>
              <w:top w:val="nil"/>
              <w:left w:val="single" w:sz="4" w:space="0" w:color="auto"/>
              <w:bottom w:val="single" w:sz="4" w:space="0" w:color="000000"/>
              <w:right w:val="single" w:sz="4" w:space="0" w:color="auto"/>
            </w:tcBorders>
            <w:vAlign w:val="center"/>
            <w:hideMark/>
          </w:tcPr>
          <w:p w:rsidR="00CC5AE0" w:rsidRPr="00CC5AE0" w:rsidRDefault="00CC5AE0" w:rsidP="00CC5AE0">
            <w:pPr>
              <w:rPr>
                <w:color w:val="000000"/>
              </w:rPr>
            </w:pPr>
          </w:p>
        </w:tc>
        <w:tc>
          <w:tcPr>
            <w:tcW w:w="2891" w:type="dxa"/>
            <w:vMerge/>
            <w:tcBorders>
              <w:top w:val="nil"/>
              <w:left w:val="single" w:sz="4" w:space="0" w:color="auto"/>
              <w:bottom w:val="single" w:sz="4" w:space="0" w:color="auto"/>
              <w:right w:val="single" w:sz="4" w:space="0" w:color="auto"/>
            </w:tcBorders>
            <w:vAlign w:val="center"/>
            <w:hideMark/>
          </w:tcPr>
          <w:p w:rsidR="00CC5AE0" w:rsidRPr="00CC5AE0" w:rsidRDefault="00CC5AE0" w:rsidP="00CC5AE0">
            <w:pPr>
              <w:rPr>
                <w:color w:val="000000"/>
              </w:rPr>
            </w:pPr>
          </w:p>
        </w:tc>
      </w:tr>
      <w:tr w:rsidR="00CC5AE0" w:rsidRPr="00CC5AE0" w:rsidTr="00BA3922">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color w:val="000000"/>
              </w:rPr>
            </w:pPr>
            <w:r w:rsidRPr="00CC5AE0">
              <w:rPr>
                <w:color w:val="000000"/>
              </w:rPr>
              <w:t>5</w:t>
            </w:r>
          </w:p>
        </w:tc>
        <w:tc>
          <w:tcPr>
            <w:tcW w:w="416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Người vận chuyển mẫu bệnh phẩm, bệnh nhân dương tính</w:t>
            </w:r>
          </w:p>
        </w:tc>
        <w:tc>
          <w:tcPr>
            <w:tcW w:w="249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jc w:val="center"/>
              <w:rPr>
                <w:color w:val="000000"/>
              </w:rPr>
            </w:pPr>
            <w:r w:rsidRPr="00CC5AE0">
              <w:rPr>
                <w:color w:val="000000"/>
              </w:rPr>
              <w:t xml:space="preserve"> 300.000 đồng/người/ngày </w:t>
            </w:r>
          </w:p>
        </w:tc>
        <w:tc>
          <w:tcPr>
            <w:tcW w:w="2891" w:type="dxa"/>
            <w:vMerge/>
            <w:tcBorders>
              <w:top w:val="nil"/>
              <w:left w:val="single" w:sz="4" w:space="0" w:color="auto"/>
              <w:bottom w:val="single" w:sz="4" w:space="0" w:color="auto"/>
              <w:right w:val="single" w:sz="4" w:space="0" w:color="auto"/>
            </w:tcBorders>
            <w:vAlign w:val="center"/>
            <w:hideMark/>
          </w:tcPr>
          <w:p w:rsidR="00CC5AE0" w:rsidRPr="00CC5AE0" w:rsidRDefault="00CC5AE0" w:rsidP="00CC5AE0">
            <w:pPr>
              <w:rPr>
                <w:color w:val="000000"/>
              </w:rPr>
            </w:pPr>
          </w:p>
        </w:tc>
      </w:tr>
      <w:tr w:rsidR="00CC5AE0" w:rsidRPr="00CC5AE0" w:rsidTr="00BA3922">
        <w:trPr>
          <w:trHeight w:val="6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color w:val="000000"/>
              </w:rPr>
            </w:pPr>
            <w:r w:rsidRPr="00CC5AE0">
              <w:rPr>
                <w:color w:val="000000"/>
              </w:rPr>
              <w:t>6</w:t>
            </w:r>
          </w:p>
        </w:tc>
        <w:tc>
          <w:tcPr>
            <w:tcW w:w="416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Cán bộ y tế làm nhiệm vụ giám sát dịch tễ tại tổ, chốt ngõ ra vào thành phố</w:t>
            </w:r>
          </w:p>
        </w:tc>
        <w:tc>
          <w:tcPr>
            <w:tcW w:w="249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jc w:val="center"/>
              <w:rPr>
                <w:color w:val="000000"/>
              </w:rPr>
            </w:pPr>
            <w:r w:rsidRPr="00CC5AE0">
              <w:rPr>
                <w:color w:val="000000"/>
              </w:rPr>
              <w:t xml:space="preserve"> 300.000 đồng/người/ca trực </w:t>
            </w:r>
          </w:p>
        </w:tc>
        <w:tc>
          <w:tcPr>
            <w:tcW w:w="2891"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 </w:t>
            </w:r>
          </w:p>
        </w:tc>
      </w:tr>
      <w:tr w:rsidR="00CC5AE0" w:rsidRPr="00CC5AE0" w:rsidTr="00BA3922">
        <w:trPr>
          <w:trHeight w:val="11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color w:val="000000"/>
              </w:rPr>
            </w:pPr>
            <w:r w:rsidRPr="00CC5AE0">
              <w:rPr>
                <w:color w:val="000000"/>
              </w:rPr>
              <w:t>7</w:t>
            </w:r>
          </w:p>
        </w:tc>
        <w:tc>
          <w:tcPr>
            <w:tcW w:w="416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Các lực lượng còn lại (công an, tình nguyện viên….) tại các tổ chốt ngõ ra vào thành phố và các chốt kiểm soát trên địa bàn thành phố</w:t>
            </w:r>
          </w:p>
        </w:tc>
        <w:tc>
          <w:tcPr>
            <w:tcW w:w="249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jc w:val="center"/>
              <w:rPr>
                <w:color w:val="000000"/>
              </w:rPr>
            </w:pPr>
            <w:r w:rsidRPr="00CC5AE0">
              <w:rPr>
                <w:color w:val="000000"/>
              </w:rPr>
              <w:t xml:space="preserve"> 130.000 đồng/người/ca trực </w:t>
            </w:r>
          </w:p>
        </w:tc>
        <w:tc>
          <w:tcPr>
            <w:tcW w:w="2891"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 </w:t>
            </w:r>
          </w:p>
        </w:tc>
      </w:tr>
      <w:tr w:rsidR="00CC5AE0" w:rsidRPr="00CC5AE0" w:rsidTr="00BA3922">
        <w:trPr>
          <w:trHeight w:val="16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color w:val="000000"/>
              </w:rPr>
            </w:pPr>
            <w:r w:rsidRPr="00CC5AE0">
              <w:rPr>
                <w:color w:val="000000"/>
              </w:rPr>
              <w:t>8</w:t>
            </w:r>
          </w:p>
        </w:tc>
        <w:tc>
          <w:tcPr>
            <w:tcW w:w="416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Người nhập liệu mẫu bệnh phẩm xét nghiệm (chưa được quy định hỗ trợ tại Nghị quyết số 16/NQ-CP của Chính phủ)</w:t>
            </w:r>
          </w:p>
        </w:tc>
        <w:tc>
          <w:tcPr>
            <w:tcW w:w="249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jc w:val="center"/>
              <w:rPr>
                <w:color w:val="000000"/>
              </w:rPr>
            </w:pPr>
            <w:r w:rsidRPr="00CC5AE0">
              <w:rPr>
                <w:color w:val="000000"/>
              </w:rPr>
              <w:t xml:space="preserve"> 80.000 đồng/người/ngày, tối đa không quá 1.400.000 đồng/người/tháng </w:t>
            </w:r>
          </w:p>
        </w:tc>
        <w:tc>
          <w:tcPr>
            <w:tcW w:w="2891"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 </w:t>
            </w:r>
          </w:p>
        </w:tc>
      </w:tr>
      <w:tr w:rsidR="00CC5AE0" w:rsidRPr="00CC5AE0" w:rsidTr="002B5A06">
        <w:trPr>
          <w:trHeight w:val="15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color w:val="000000"/>
              </w:rPr>
            </w:pPr>
            <w:r w:rsidRPr="00CC5AE0">
              <w:rPr>
                <w:color w:val="000000"/>
              </w:rPr>
              <w:t>9</w:t>
            </w:r>
          </w:p>
        </w:tc>
        <w:tc>
          <w:tcPr>
            <w:tcW w:w="416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Người lao động tham gia công tác phòng, chống dịch tại các cơ sở y tế được giao nhiệm vụ thu dung, điều trị bệnh nhân dương tính COVID-19 (chưa được quy định hỗ trợ tại Nghị quyết số 16/NQ-CP của Chính phủ)</w:t>
            </w:r>
          </w:p>
        </w:tc>
        <w:tc>
          <w:tcPr>
            <w:tcW w:w="249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jc w:val="center"/>
              <w:rPr>
                <w:color w:val="000000"/>
              </w:rPr>
            </w:pPr>
            <w:r w:rsidRPr="00CC5AE0">
              <w:rPr>
                <w:color w:val="000000"/>
              </w:rPr>
              <w:t xml:space="preserve"> 80.000 đồng/người/ngày, tối đa không quá 1.400.000 đồng/người/tháng </w:t>
            </w:r>
          </w:p>
        </w:tc>
        <w:tc>
          <w:tcPr>
            <w:tcW w:w="2891"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 </w:t>
            </w:r>
          </w:p>
        </w:tc>
      </w:tr>
      <w:tr w:rsidR="00CC5AE0" w:rsidRPr="00CC5AE0" w:rsidTr="002B5A06">
        <w:trPr>
          <w:trHeight w:val="29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b/>
                <w:bCs/>
                <w:color w:val="000000"/>
              </w:rPr>
            </w:pPr>
            <w:r w:rsidRPr="00CC5AE0">
              <w:rPr>
                <w:b/>
                <w:bCs/>
                <w:color w:val="000000"/>
              </w:rPr>
              <w:lastRenderedPageBreak/>
              <w:t>II</w:t>
            </w:r>
          </w:p>
        </w:tc>
        <w:tc>
          <w:tcPr>
            <w:tcW w:w="4165" w:type="dxa"/>
            <w:tcBorders>
              <w:top w:val="single" w:sz="4" w:space="0" w:color="auto"/>
              <w:left w:val="nil"/>
              <w:bottom w:val="single" w:sz="4" w:space="0" w:color="auto"/>
              <w:right w:val="single" w:sz="4" w:space="0" w:color="auto"/>
            </w:tcBorders>
            <w:shd w:val="clear" w:color="auto" w:fill="auto"/>
            <w:vAlign w:val="center"/>
            <w:hideMark/>
          </w:tcPr>
          <w:p w:rsidR="00CC5AE0" w:rsidRPr="00CC5AE0" w:rsidRDefault="00CC5AE0" w:rsidP="00CC5AE0">
            <w:pPr>
              <w:rPr>
                <w:b/>
                <w:bCs/>
                <w:color w:val="000000"/>
              </w:rPr>
            </w:pPr>
            <w:r w:rsidRPr="00CC5AE0">
              <w:rPr>
                <w:b/>
                <w:bCs/>
                <w:color w:val="000000"/>
              </w:rPr>
              <w:t>Về chế độ hỗ trợ tiền ăn cho người đi giám sát, điều tra, xác minh dịch; người làm công việc lấy mẫu, gộp mẫu, phân tách mẫu, vận chuyển mẫu, nhập liệu mẫu bệnh phẩm xét nghiệm, người trực tiếp làm xét nghiệm Sars-Cov-2, người vận chuyển bệnh nhân dương tính, người giám sát tại các chốt ngõ ra vào thành phố và các chốt kiểm soát trên địa bàn thành phố; kể cả tình nguyện viên tham gia các công việc này</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CC5AE0" w:rsidRPr="00CC5AE0" w:rsidRDefault="00CC5AE0" w:rsidP="00CC5AE0">
            <w:pPr>
              <w:jc w:val="center"/>
              <w:rPr>
                <w:color w:val="000000"/>
              </w:rPr>
            </w:pPr>
            <w:r w:rsidRPr="00CC5AE0">
              <w:rPr>
                <w:color w:val="000000"/>
              </w:rPr>
              <w:t xml:space="preserve"> 80.000 đồng/người/ngày </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 </w:t>
            </w:r>
          </w:p>
        </w:tc>
      </w:tr>
      <w:tr w:rsidR="00CC5AE0" w:rsidRPr="00CC5AE0" w:rsidTr="00BA3922">
        <w:trPr>
          <w:trHeight w:val="14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5AE0" w:rsidRPr="00CC5AE0" w:rsidRDefault="00CC5AE0" w:rsidP="00CC5AE0">
            <w:pPr>
              <w:jc w:val="center"/>
              <w:rPr>
                <w:b/>
                <w:bCs/>
                <w:color w:val="000000"/>
              </w:rPr>
            </w:pPr>
            <w:r w:rsidRPr="00CC5AE0">
              <w:rPr>
                <w:b/>
                <w:bCs/>
                <w:color w:val="000000"/>
              </w:rPr>
              <w:t>III</w:t>
            </w:r>
          </w:p>
        </w:tc>
        <w:tc>
          <w:tcPr>
            <w:tcW w:w="416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b/>
                <w:bCs/>
                <w:color w:val="000000"/>
              </w:rPr>
            </w:pPr>
            <w:r w:rsidRPr="00CC5AE0">
              <w:rPr>
                <w:b/>
                <w:bCs/>
                <w:color w:val="000000"/>
              </w:rPr>
              <w:t xml:space="preserve">Về chế độ hỗ trợ tiền ăn cho đội ngũ nhân viên y tế chăm sóc, điều trị bệnh nhân dương tính COVID-19 tại các cơ sở y tế được giao nhiệm vụ thu dung, điều trị bệnh nhân dương tính COVID-19 </w:t>
            </w:r>
          </w:p>
        </w:tc>
        <w:tc>
          <w:tcPr>
            <w:tcW w:w="2495"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jc w:val="center"/>
              <w:rPr>
                <w:color w:val="000000"/>
              </w:rPr>
            </w:pPr>
            <w:r w:rsidRPr="00CC5AE0">
              <w:rPr>
                <w:color w:val="000000"/>
              </w:rPr>
              <w:t>120.000 đồng/người/ngày</w:t>
            </w:r>
          </w:p>
        </w:tc>
        <w:tc>
          <w:tcPr>
            <w:tcW w:w="2891" w:type="dxa"/>
            <w:tcBorders>
              <w:top w:val="nil"/>
              <w:left w:val="nil"/>
              <w:bottom w:val="single" w:sz="4" w:space="0" w:color="auto"/>
              <w:right w:val="single" w:sz="4" w:space="0" w:color="auto"/>
            </w:tcBorders>
            <w:shd w:val="clear" w:color="auto" w:fill="auto"/>
            <w:vAlign w:val="center"/>
            <w:hideMark/>
          </w:tcPr>
          <w:p w:rsidR="00CC5AE0" w:rsidRPr="00CC5AE0" w:rsidRDefault="00CC5AE0" w:rsidP="00CC5AE0">
            <w:pPr>
              <w:rPr>
                <w:color w:val="000000"/>
              </w:rPr>
            </w:pPr>
            <w:r w:rsidRPr="00CC5AE0">
              <w:rPr>
                <w:color w:val="000000"/>
              </w:rPr>
              <w:t xml:space="preserve">Đã bao gồm chế độ hỗ trợ tiền ăn theo Nghị quyết số 16/NQ-CP ngày 08/02/2021 của Chính phủ. </w:t>
            </w:r>
          </w:p>
        </w:tc>
      </w:tr>
      <w:tr w:rsidR="00CC5AE0" w:rsidRPr="00CC5AE0" w:rsidTr="00BA3922">
        <w:trPr>
          <w:trHeight w:val="495"/>
        </w:trPr>
        <w:tc>
          <w:tcPr>
            <w:tcW w:w="851" w:type="dxa"/>
            <w:tcBorders>
              <w:top w:val="nil"/>
              <w:left w:val="nil"/>
              <w:bottom w:val="nil"/>
              <w:right w:val="nil"/>
            </w:tcBorders>
            <w:shd w:val="clear" w:color="auto" w:fill="auto"/>
            <w:noWrap/>
            <w:vAlign w:val="center"/>
            <w:hideMark/>
          </w:tcPr>
          <w:p w:rsidR="00CC5AE0" w:rsidRPr="00CC5AE0" w:rsidRDefault="00CC5AE0" w:rsidP="00CC5AE0">
            <w:pPr>
              <w:rPr>
                <w:b/>
                <w:bCs/>
                <w:color w:val="000000"/>
              </w:rPr>
            </w:pPr>
          </w:p>
        </w:tc>
        <w:tc>
          <w:tcPr>
            <w:tcW w:w="9551" w:type="dxa"/>
            <w:gridSpan w:val="3"/>
            <w:tcBorders>
              <w:top w:val="nil"/>
              <w:left w:val="nil"/>
              <w:bottom w:val="nil"/>
              <w:right w:val="nil"/>
            </w:tcBorders>
            <w:shd w:val="clear" w:color="auto" w:fill="auto"/>
            <w:noWrap/>
            <w:vAlign w:val="center"/>
            <w:hideMark/>
          </w:tcPr>
          <w:p w:rsidR="00CC5AE0" w:rsidRPr="00CC5AE0" w:rsidRDefault="00CC5AE0" w:rsidP="00CC5AE0">
            <w:pPr>
              <w:rPr>
                <w:b/>
                <w:bCs/>
                <w:color w:val="000000"/>
              </w:rPr>
            </w:pPr>
            <w:r w:rsidRPr="00CC5AE0">
              <w:rPr>
                <w:b/>
                <w:bCs/>
                <w:color w:val="000000"/>
              </w:rPr>
              <w:t xml:space="preserve">Ghi chú: </w:t>
            </w:r>
          </w:p>
        </w:tc>
      </w:tr>
      <w:tr w:rsidR="00CC5AE0" w:rsidRPr="00CC5AE0" w:rsidTr="00BA3922">
        <w:trPr>
          <w:trHeight w:val="735"/>
        </w:trPr>
        <w:tc>
          <w:tcPr>
            <w:tcW w:w="851" w:type="dxa"/>
            <w:tcBorders>
              <w:top w:val="nil"/>
              <w:left w:val="nil"/>
              <w:bottom w:val="nil"/>
              <w:right w:val="nil"/>
            </w:tcBorders>
            <w:shd w:val="clear" w:color="auto" w:fill="auto"/>
            <w:noWrap/>
            <w:vAlign w:val="center"/>
            <w:hideMark/>
          </w:tcPr>
          <w:p w:rsidR="00CC5AE0" w:rsidRPr="00CC5AE0" w:rsidRDefault="00CC5AE0" w:rsidP="00CC5AE0">
            <w:pPr>
              <w:rPr>
                <w:color w:val="000000"/>
              </w:rPr>
            </w:pPr>
          </w:p>
        </w:tc>
        <w:tc>
          <w:tcPr>
            <w:tcW w:w="9551" w:type="dxa"/>
            <w:gridSpan w:val="3"/>
            <w:tcBorders>
              <w:top w:val="nil"/>
              <w:left w:val="nil"/>
              <w:bottom w:val="nil"/>
              <w:right w:val="nil"/>
            </w:tcBorders>
            <w:shd w:val="clear" w:color="auto" w:fill="auto"/>
            <w:vAlign w:val="center"/>
            <w:hideMark/>
          </w:tcPr>
          <w:p w:rsidR="00CC5AE0" w:rsidRPr="00CC5AE0" w:rsidRDefault="00CC5AE0" w:rsidP="00CC5AE0">
            <w:pPr>
              <w:rPr>
                <w:color w:val="000000"/>
              </w:rPr>
            </w:pPr>
            <w:r w:rsidRPr="00CC5AE0">
              <w:rPr>
                <w:color w:val="000000"/>
              </w:rPr>
              <w:t xml:space="preserve">1. Người lao động thuộc cơ sở y tế tham gia chống dịch thuộc đối tượng được hưởng nhiều mức phụ cấp khác nhau theo quy định thì được hưởng mức phụ cấp cao nhất. </w:t>
            </w:r>
          </w:p>
        </w:tc>
      </w:tr>
      <w:tr w:rsidR="00CC5AE0" w:rsidRPr="00CC5AE0" w:rsidTr="00BA3922">
        <w:trPr>
          <w:trHeight w:val="975"/>
        </w:trPr>
        <w:tc>
          <w:tcPr>
            <w:tcW w:w="851" w:type="dxa"/>
            <w:tcBorders>
              <w:top w:val="nil"/>
              <w:left w:val="nil"/>
              <w:bottom w:val="nil"/>
              <w:right w:val="nil"/>
            </w:tcBorders>
            <w:shd w:val="clear" w:color="auto" w:fill="auto"/>
            <w:noWrap/>
            <w:vAlign w:val="center"/>
            <w:hideMark/>
          </w:tcPr>
          <w:p w:rsidR="00CC5AE0" w:rsidRPr="00CC5AE0" w:rsidRDefault="00CC5AE0" w:rsidP="00CC5AE0">
            <w:pPr>
              <w:rPr>
                <w:color w:val="000000"/>
              </w:rPr>
            </w:pPr>
          </w:p>
        </w:tc>
        <w:tc>
          <w:tcPr>
            <w:tcW w:w="9551" w:type="dxa"/>
            <w:gridSpan w:val="3"/>
            <w:tcBorders>
              <w:top w:val="nil"/>
              <w:left w:val="nil"/>
              <w:bottom w:val="nil"/>
              <w:right w:val="nil"/>
            </w:tcBorders>
            <w:shd w:val="clear" w:color="auto" w:fill="auto"/>
            <w:vAlign w:val="center"/>
            <w:hideMark/>
          </w:tcPr>
          <w:p w:rsidR="00CC5AE0" w:rsidRPr="00CC5AE0" w:rsidRDefault="00CC5AE0" w:rsidP="00CC5AE0">
            <w:pPr>
              <w:rPr>
                <w:color w:val="000000"/>
              </w:rPr>
            </w:pPr>
            <w:r w:rsidRPr="00CC5AE0">
              <w:rPr>
                <w:color w:val="000000"/>
              </w:rPr>
              <w:t>2. Lực lượng tham gia nhiệm vụ tại các tổ, chốt ngõ ra vào thành phố và các chốt kiểm soát trên địa bàn thành phố (theo Quyết định thành lập của cơ quan có thẩm quyền): Chế độ phụ cấp chống dịch nêu tại khoản 6 và khoản 7 mục I nêu trên tính theo ca trực (mỗi ca 08 tiếng).</w:t>
            </w:r>
          </w:p>
        </w:tc>
      </w:tr>
      <w:tr w:rsidR="00CC5AE0" w:rsidRPr="00CC5AE0" w:rsidTr="00BA3922">
        <w:trPr>
          <w:trHeight w:val="675"/>
        </w:trPr>
        <w:tc>
          <w:tcPr>
            <w:tcW w:w="851" w:type="dxa"/>
            <w:tcBorders>
              <w:top w:val="nil"/>
              <w:left w:val="nil"/>
              <w:bottom w:val="nil"/>
              <w:right w:val="nil"/>
            </w:tcBorders>
            <w:shd w:val="clear" w:color="auto" w:fill="auto"/>
            <w:noWrap/>
            <w:vAlign w:val="bottom"/>
            <w:hideMark/>
          </w:tcPr>
          <w:p w:rsidR="00CC5AE0" w:rsidRPr="00CC5AE0" w:rsidRDefault="00CC5AE0" w:rsidP="00CC5AE0">
            <w:pPr>
              <w:rPr>
                <w:color w:val="000000"/>
              </w:rPr>
            </w:pPr>
          </w:p>
        </w:tc>
        <w:tc>
          <w:tcPr>
            <w:tcW w:w="9551" w:type="dxa"/>
            <w:gridSpan w:val="3"/>
            <w:tcBorders>
              <w:top w:val="nil"/>
              <w:left w:val="nil"/>
              <w:bottom w:val="nil"/>
              <w:right w:val="nil"/>
            </w:tcBorders>
            <w:shd w:val="clear" w:color="auto" w:fill="auto"/>
            <w:vAlign w:val="center"/>
            <w:hideMark/>
          </w:tcPr>
          <w:p w:rsidR="00CC5AE0" w:rsidRPr="00CC5AE0" w:rsidRDefault="00CC5AE0" w:rsidP="00CC5AE0">
            <w:pPr>
              <w:rPr>
                <w:color w:val="000000"/>
              </w:rPr>
            </w:pPr>
            <w:r w:rsidRPr="00CC5AE0">
              <w:rPr>
                <w:color w:val="000000"/>
              </w:rPr>
              <w:t xml:space="preserve">3. Các chế độ hỗ trợ nêu trên không áp dụng đối với tình nguyện viên đã hưởng chế độ hỗ trợ chống dịch và tiền ăn theo Nghị quyết số 58/NQ-CP ngày 08/6/2021 của Chính phủ.  </w:t>
            </w:r>
          </w:p>
        </w:tc>
      </w:tr>
    </w:tbl>
    <w:p w:rsidR="00541CF4" w:rsidRPr="00BA3922" w:rsidRDefault="00541CF4"/>
    <w:sectPr w:rsidR="00541CF4" w:rsidRPr="00BA3922" w:rsidSect="00CC5AE0">
      <w:pgSz w:w="11907" w:h="16840" w:code="9"/>
      <w:pgMar w:top="1474" w:right="1134" w:bottom="1134" w:left="113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CC5AE0"/>
    <w:rsid w:val="002B21F0"/>
    <w:rsid w:val="002B5A06"/>
    <w:rsid w:val="00541CF4"/>
    <w:rsid w:val="00A8401E"/>
    <w:rsid w:val="00BA3922"/>
    <w:rsid w:val="00CC5A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C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0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cp:revision>
  <dcterms:created xsi:type="dcterms:W3CDTF">2021-10-08T03:27:00Z</dcterms:created>
  <dcterms:modified xsi:type="dcterms:W3CDTF">2021-10-12T03:01:00Z</dcterms:modified>
</cp:coreProperties>
</file>