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876"/>
        <w:tblW w:w="10210" w:type="dxa"/>
        <w:tblLayout w:type="fixed"/>
        <w:tblLook w:val="0000" w:firstRow="0" w:lastRow="0" w:firstColumn="0" w:lastColumn="0" w:noHBand="0" w:noVBand="0"/>
      </w:tblPr>
      <w:tblGrid>
        <w:gridCol w:w="3644"/>
        <w:gridCol w:w="6566"/>
      </w:tblGrid>
      <w:tr w:rsidR="00F95D18" w:rsidRPr="008E377C" w:rsidTr="008E6377">
        <w:trPr>
          <w:trHeight w:val="232"/>
        </w:trPr>
        <w:tc>
          <w:tcPr>
            <w:tcW w:w="3644" w:type="dxa"/>
          </w:tcPr>
          <w:p w:rsidR="00F95D18" w:rsidRPr="00FA612B" w:rsidRDefault="00F95D18" w:rsidP="008E6377">
            <w:pPr>
              <w:pStyle w:val="BodyText"/>
              <w:widowControl w:val="0"/>
              <w:spacing w:before="0"/>
              <w:ind w:right="36"/>
              <w:jc w:val="center"/>
              <w:rPr>
                <w:b/>
                <w:sz w:val="26"/>
                <w:szCs w:val="26"/>
                <w:lang w:val="en-US" w:eastAsia="en-US"/>
              </w:rPr>
            </w:pPr>
            <w:bookmarkStart w:id="0" w:name="_GoBack"/>
            <w:bookmarkEnd w:id="0"/>
            <w:r w:rsidRPr="00FA612B">
              <w:rPr>
                <w:b/>
                <w:sz w:val="26"/>
                <w:szCs w:val="26"/>
                <w:lang w:val="en-US" w:eastAsia="en-US"/>
              </w:rPr>
              <w:t>HỘI ĐỒNG NHÂN DÂN</w:t>
            </w:r>
          </w:p>
        </w:tc>
        <w:tc>
          <w:tcPr>
            <w:tcW w:w="6566" w:type="dxa"/>
          </w:tcPr>
          <w:p w:rsidR="00F95D18" w:rsidRPr="00FA612B" w:rsidRDefault="00F95D18" w:rsidP="008E6377">
            <w:pPr>
              <w:pStyle w:val="BodyText2"/>
              <w:widowControl w:val="0"/>
              <w:ind w:right="36"/>
              <w:jc w:val="center"/>
              <w:rPr>
                <w:b/>
                <w:szCs w:val="28"/>
                <w:lang w:val="en-US" w:eastAsia="en-US"/>
              </w:rPr>
            </w:pPr>
            <w:r w:rsidRPr="00FA612B">
              <w:rPr>
                <w:b/>
                <w:sz w:val="26"/>
                <w:szCs w:val="26"/>
                <w:lang w:val="en-US" w:eastAsia="en-US"/>
              </w:rPr>
              <w:t>CỘNG HOÀ XÃ HỘI CHỦ NGHĨA VIỆT NAM</w:t>
            </w:r>
          </w:p>
        </w:tc>
      </w:tr>
      <w:tr w:rsidR="00F95D18" w:rsidRPr="008E377C" w:rsidTr="008E6377">
        <w:trPr>
          <w:trHeight w:val="355"/>
        </w:trPr>
        <w:tc>
          <w:tcPr>
            <w:tcW w:w="3644" w:type="dxa"/>
          </w:tcPr>
          <w:p w:rsidR="00F95D18" w:rsidRPr="00FA612B" w:rsidRDefault="00F95D18" w:rsidP="008E6377">
            <w:pPr>
              <w:pStyle w:val="BodyText"/>
              <w:widowControl w:val="0"/>
              <w:spacing w:before="0"/>
              <w:ind w:right="36"/>
              <w:jc w:val="center"/>
              <w:rPr>
                <w:b/>
                <w:sz w:val="26"/>
                <w:szCs w:val="26"/>
                <w:lang w:val="en-US" w:eastAsia="en-US"/>
              </w:rPr>
            </w:pPr>
            <w:r w:rsidRPr="00FA612B">
              <w:rPr>
                <w:b/>
                <w:sz w:val="26"/>
                <w:szCs w:val="26"/>
                <w:lang w:val="en-US" w:eastAsia="en-US"/>
              </w:rPr>
              <w:t>THÀNH PHỐ ĐÀ NẴNG</w:t>
            </w:r>
          </w:p>
        </w:tc>
        <w:tc>
          <w:tcPr>
            <w:tcW w:w="6566" w:type="dxa"/>
          </w:tcPr>
          <w:p w:rsidR="00F95D18" w:rsidRPr="008E377C" w:rsidRDefault="00F95D18" w:rsidP="008E6377">
            <w:pPr>
              <w:widowControl w:val="0"/>
              <w:ind w:right="36"/>
              <w:jc w:val="center"/>
              <w:rPr>
                <w:b/>
                <w:sz w:val="28"/>
                <w:szCs w:val="28"/>
              </w:rPr>
            </w:pPr>
            <w:r w:rsidRPr="008E377C">
              <w:rPr>
                <w:b/>
                <w:sz w:val="28"/>
                <w:szCs w:val="28"/>
              </w:rPr>
              <w:t>Độc lập - Tự do - Hạnh phúc</w:t>
            </w:r>
          </w:p>
        </w:tc>
      </w:tr>
      <w:tr w:rsidR="00F95D18" w:rsidRPr="008E377C" w:rsidTr="008E6377">
        <w:trPr>
          <w:trHeight w:val="423"/>
        </w:trPr>
        <w:tc>
          <w:tcPr>
            <w:tcW w:w="3644" w:type="dxa"/>
          </w:tcPr>
          <w:p w:rsidR="00F95D18" w:rsidRPr="008E6377" w:rsidRDefault="007758F7" w:rsidP="008E6377">
            <w:pPr>
              <w:pStyle w:val="BodyText"/>
              <w:widowControl w:val="0"/>
              <w:ind w:right="34"/>
              <w:jc w:val="center"/>
              <w:rPr>
                <w:noProof/>
                <w:szCs w:val="28"/>
                <w:lang w:val="en-US" w:eastAsia="en-US"/>
              </w:rPr>
            </w:pPr>
            <w:r w:rsidRPr="008E6377">
              <w:rPr>
                <w:noProof/>
                <w:szCs w:val="28"/>
                <w:lang w:val="en-US" w:eastAsia="en-US"/>
              </w:rPr>
              <mc:AlternateContent>
                <mc:Choice Requires="wps">
                  <w:drawing>
                    <wp:anchor distT="4294967295" distB="4294967295" distL="114300" distR="114300" simplePos="0" relativeHeight="251657728" behindDoc="0" locked="0" layoutInCell="1" allowOverlap="1">
                      <wp:simplePos x="0" y="0"/>
                      <wp:positionH relativeFrom="column">
                        <wp:posOffset>638810</wp:posOffset>
                      </wp:positionH>
                      <wp:positionV relativeFrom="paragraph">
                        <wp:posOffset>8889</wp:posOffset>
                      </wp:positionV>
                      <wp:extent cx="683895"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21DA7"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3pt,.7pt" to="104.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"/>
                  </w:pict>
                </mc:Fallback>
              </mc:AlternateContent>
            </w:r>
            <w:r w:rsidR="00F95D18" w:rsidRPr="008E6377">
              <w:rPr>
                <w:noProof/>
                <w:szCs w:val="28"/>
                <w:lang w:val="en-US" w:eastAsia="en-US"/>
              </w:rPr>
              <w:t>Số:</w:t>
            </w:r>
            <w:r w:rsidR="003A42C9" w:rsidRPr="008E6377">
              <w:rPr>
                <w:noProof/>
                <w:szCs w:val="28"/>
                <w:lang w:val="en-US" w:eastAsia="en-US"/>
              </w:rPr>
              <w:t xml:space="preserve"> 250</w:t>
            </w:r>
            <w:r w:rsidR="00F95D18" w:rsidRPr="008E6377">
              <w:rPr>
                <w:noProof/>
                <w:szCs w:val="28"/>
                <w:lang w:val="en-US" w:eastAsia="en-US"/>
              </w:rPr>
              <w:t>/2019/NQ-HĐND</w:t>
            </w:r>
          </w:p>
        </w:tc>
        <w:tc>
          <w:tcPr>
            <w:tcW w:w="6566" w:type="dxa"/>
          </w:tcPr>
          <w:p w:rsidR="00F95D18" w:rsidRPr="008E377C" w:rsidRDefault="007758F7" w:rsidP="008E6377">
            <w:pPr>
              <w:widowControl w:val="0"/>
              <w:spacing w:before="120"/>
              <w:ind w:right="34"/>
              <w:jc w:val="center"/>
              <w:rPr>
                <w:i/>
                <w:sz w:val="28"/>
                <w:szCs w:val="28"/>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684530</wp:posOffset>
                      </wp:positionH>
                      <wp:positionV relativeFrom="paragraph">
                        <wp:posOffset>22859</wp:posOffset>
                      </wp:positionV>
                      <wp:extent cx="2194560" cy="8255"/>
                      <wp:effectExtent l="0" t="0" r="34290" b="298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A7891"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9pt,1.8pt" to="226.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"/>
                  </w:pict>
                </mc:Fallback>
              </mc:AlternateContent>
            </w:r>
            <w:r w:rsidR="00F95D18" w:rsidRPr="008E377C">
              <w:rPr>
                <w:i/>
                <w:sz w:val="28"/>
                <w:szCs w:val="28"/>
              </w:rPr>
              <w:t xml:space="preserve">Đà Nẵng, ngày </w:t>
            </w:r>
            <w:r w:rsidR="002940BF">
              <w:rPr>
                <w:i/>
                <w:sz w:val="28"/>
                <w:szCs w:val="28"/>
              </w:rPr>
              <w:t xml:space="preserve">11 </w:t>
            </w:r>
            <w:r w:rsidR="00F95D18" w:rsidRPr="008E377C">
              <w:rPr>
                <w:i/>
                <w:sz w:val="28"/>
                <w:szCs w:val="28"/>
              </w:rPr>
              <w:t>tháng</w:t>
            </w:r>
            <w:r w:rsidR="002940BF">
              <w:rPr>
                <w:i/>
                <w:sz w:val="28"/>
                <w:szCs w:val="28"/>
              </w:rPr>
              <w:t xml:space="preserve"> 7 </w:t>
            </w:r>
            <w:r w:rsidR="00F95D18" w:rsidRPr="008E377C">
              <w:rPr>
                <w:i/>
                <w:sz w:val="28"/>
                <w:szCs w:val="28"/>
              </w:rPr>
              <w:t>năm  2019</w:t>
            </w:r>
          </w:p>
        </w:tc>
      </w:tr>
    </w:tbl>
    <w:p w:rsidR="008E6377" w:rsidRDefault="008E6377" w:rsidP="005E5106">
      <w:pPr>
        <w:widowControl w:val="0"/>
        <w:spacing w:before="480"/>
        <w:ind w:right="34"/>
        <w:jc w:val="center"/>
        <w:rPr>
          <w:b/>
          <w:sz w:val="28"/>
          <w:szCs w:val="28"/>
        </w:rPr>
      </w:pPr>
    </w:p>
    <w:p w:rsidR="002940BF" w:rsidRPr="008E377C" w:rsidRDefault="002940BF" w:rsidP="005E5106">
      <w:pPr>
        <w:widowControl w:val="0"/>
        <w:spacing w:before="480"/>
        <w:ind w:right="34"/>
        <w:jc w:val="center"/>
        <w:rPr>
          <w:b/>
          <w:sz w:val="28"/>
          <w:szCs w:val="28"/>
        </w:rPr>
      </w:pPr>
      <w:r w:rsidRPr="008E377C">
        <w:rPr>
          <w:b/>
          <w:sz w:val="28"/>
          <w:szCs w:val="28"/>
        </w:rPr>
        <w:t>NGHỊ QUYẾT</w:t>
      </w:r>
    </w:p>
    <w:p w:rsidR="002940BF" w:rsidRDefault="002940BF" w:rsidP="005E5106">
      <w:pPr>
        <w:widowControl w:val="0"/>
        <w:ind w:right="34"/>
        <w:jc w:val="center"/>
        <w:rPr>
          <w:b/>
          <w:sz w:val="28"/>
          <w:szCs w:val="28"/>
          <w:lang w:val="de-DE"/>
        </w:rPr>
      </w:pPr>
      <w:r w:rsidRPr="008E377C">
        <w:rPr>
          <w:b/>
          <w:sz w:val="28"/>
          <w:szCs w:val="28"/>
        </w:rPr>
        <w:t>Quy định hỗ trợ chi phí khám sức khỏe và chi phí điều trị cho bệnh nhân tự nguyện tham gia điều trị nghiện các chất dạng thuốc phiện bằng thuốc thay thế Methadone tại thành phố Đà Nẵng</w:t>
      </w:r>
    </w:p>
    <w:p w:rsidR="00F95D18" w:rsidRPr="008E377C" w:rsidRDefault="007758F7" w:rsidP="005E5106">
      <w:pPr>
        <w:widowControl w:val="0"/>
        <w:spacing w:before="480"/>
        <w:ind w:right="34"/>
        <w:jc w:val="center"/>
        <w:rPr>
          <w:b/>
          <w:sz w:val="28"/>
          <w:szCs w:val="28"/>
          <w:lang w:val="de-DE"/>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1911985</wp:posOffset>
                </wp:positionH>
                <wp:positionV relativeFrom="paragraph">
                  <wp:posOffset>43814</wp:posOffset>
                </wp:positionV>
                <wp:extent cx="21145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B91913" id="_x0000_t32" coordsize="21600,21600" o:spt="32" o:oned="t" path="m,l21600,21600e" filled="f">
                <v:path arrowok="t" fillok="f" o:connecttype="none"/>
                <o:lock v:ext="edit" shapetype="t"/>
              </v:shapetype>
              <v:shape id="Straight Arrow Connector 1" o:spid="_x0000_s1026" type="#_x0000_t32" style="position:absolute;margin-left:150.55pt;margin-top:3.45pt;width:166.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bUJQIAAEo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"/>
            </w:pict>
          </mc:Fallback>
        </mc:AlternateContent>
      </w:r>
      <w:r w:rsidR="00F95D18" w:rsidRPr="008E377C">
        <w:rPr>
          <w:b/>
          <w:sz w:val="28"/>
          <w:szCs w:val="28"/>
          <w:lang w:val="de-DE"/>
        </w:rPr>
        <w:t>HỘI ĐỒNG NHÂN DÂN THÀNH PHỐ ĐÀ NẴNG</w:t>
      </w:r>
    </w:p>
    <w:p w:rsidR="00F95D18" w:rsidRPr="008E377C" w:rsidRDefault="00F95D18" w:rsidP="005E5106">
      <w:pPr>
        <w:widowControl w:val="0"/>
        <w:ind w:right="36"/>
        <w:jc w:val="center"/>
        <w:rPr>
          <w:b/>
          <w:sz w:val="28"/>
          <w:szCs w:val="28"/>
          <w:lang w:val="de-DE"/>
        </w:rPr>
      </w:pPr>
      <w:r w:rsidRPr="008E377C">
        <w:rPr>
          <w:b/>
          <w:sz w:val="28"/>
          <w:szCs w:val="28"/>
          <w:lang w:val="de-DE"/>
        </w:rPr>
        <w:t>KHÓA IX, NHIỆM KỲ 2016-2021, KỲ HỌP THỨ 11</w:t>
      </w:r>
    </w:p>
    <w:p w:rsidR="00F95D18" w:rsidRPr="008E377C" w:rsidRDefault="00F95D18" w:rsidP="005E5106">
      <w:pPr>
        <w:widowControl w:val="0"/>
        <w:ind w:right="36"/>
        <w:jc w:val="center"/>
        <w:rPr>
          <w:b/>
          <w:sz w:val="28"/>
          <w:szCs w:val="28"/>
          <w:lang w:val="de-DE"/>
        </w:rPr>
      </w:pPr>
    </w:p>
    <w:p w:rsidR="00F95D18" w:rsidRPr="00B41FB8" w:rsidRDefault="00F95D18" w:rsidP="008B30FC">
      <w:pPr>
        <w:widowControl w:val="0"/>
        <w:spacing w:after="120" w:line="340" w:lineRule="exact"/>
        <w:ind w:right="34" w:firstLine="720"/>
        <w:jc w:val="both"/>
        <w:rPr>
          <w:i/>
          <w:sz w:val="28"/>
          <w:szCs w:val="28"/>
          <w:lang w:val="de-DE"/>
        </w:rPr>
      </w:pPr>
      <w:r w:rsidRPr="00B41FB8">
        <w:rPr>
          <w:i/>
          <w:sz w:val="28"/>
          <w:szCs w:val="28"/>
          <w:lang w:val="de-DE"/>
        </w:rPr>
        <w:t>Căn cứ Luật Tổ chức chính quyền địa phương ngày 19 tháng 5 năm 2015;</w:t>
      </w:r>
    </w:p>
    <w:p w:rsidR="00F95D18" w:rsidRPr="00B41FB8" w:rsidRDefault="00F95D18" w:rsidP="008B30FC">
      <w:pPr>
        <w:widowControl w:val="0"/>
        <w:spacing w:after="120" w:line="340" w:lineRule="exact"/>
        <w:ind w:right="34" w:firstLine="720"/>
        <w:jc w:val="both"/>
        <w:rPr>
          <w:i/>
          <w:spacing w:val="-8"/>
          <w:kern w:val="16"/>
          <w:sz w:val="28"/>
          <w:szCs w:val="28"/>
          <w:lang w:val="de-DE"/>
        </w:rPr>
      </w:pPr>
      <w:r w:rsidRPr="00B41FB8">
        <w:rPr>
          <w:i/>
          <w:spacing w:val="-8"/>
          <w:kern w:val="16"/>
          <w:sz w:val="28"/>
          <w:szCs w:val="28"/>
          <w:lang w:val="de-DE"/>
        </w:rPr>
        <w:t xml:space="preserve">Căn cứ Luật </w:t>
      </w:r>
      <w:r w:rsidR="003A42C9" w:rsidRPr="00B41FB8">
        <w:rPr>
          <w:i/>
          <w:spacing w:val="-8"/>
          <w:kern w:val="16"/>
          <w:sz w:val="28"/>
          <w:szCs w:val="28"/>
          <w:lang w:val="de-DE"/>
        </w:rPr>
        <w:t>B</w:t>
      </w:r>
      <w:r w:rsidRPr="00B41FB8">
        <w:rPr>
          <w:i/>
          <w:spacing w:val="-8"/>
          <w:kern w:val="16"/>
          <w:sz w:val="28"/>
          <w:szCs w:val="28"/>
          <w:lang w:val="de-DE"/>
        </w:rPr>
        <w:t>an hành văn bản quy phạm pháp luật ngày 22 tháng 6 năm 2015;</w:t>
      </w:r>
    </w:p>
    <w:p w:rsidR="00F95D18" w:rsidRPr="00B41FB8" w:rsidRDefault="00F95D18" w:rsidP="008B30FC">
      <w:pPr>
        <w:widowControl w:val="0"/>
        <w:spacing w:after="120" w:line="340" w:lineRule="exact"/>
        <w:ind w:right="34" w:firstLine="720"/>
        <w:jc w:val="both"/>
        <w:rPr>
          <w:i/>
          <w:sz w:val="28"/>
          <w:szCs w:val="28"/>
          <w:lang w:val="de-DE"/>
        </w:rPr>
      </w:pPr>
      <w:r w:rsidRPr="00B41FB8">
        <w:rPr>
          <w:i/>
          <w:sz w:val="28"/>
          <w:szCs w:val="28"/>
          <w:lang w:val="de-DE"/>
        </w:rPr>
        <w:t>Căn cứ Luật Ngân sách nhà nước ngày 25 tháng 6 năm 2015;</w:t>
      </w:r>
    </w:p>
    <w:p w:rsidR="00F95D18" w:rsidRPr="00B41FB8" w:rsidRDefault="00F95D18" w:rsidP="008B30FC">
      <w:pPr>
        <w:widowControl w:val="0"/>
        <w:spacing w:after="120" w:line="340" w:lineRule="exact"/>
        <w:ind w:right="34" w:firstLine="720"/>
        <w:jc w:val="both"/>
        <w:rPr>
          <w:i/>
          <w:sz w:val="28"/>
          <w:szCs w:val="28"/>
          <w:lang w:val="de-DE"/>
        </w:rPr>
      </w:pPr>
      <w:r w:rsidRPr="00B41FB8">
        <w:rPr>
          <w:i/>
          <w:spacing w:val="-8"/>
          <w:kern w:val="16"/>
          <w:sz w:val="28"/>
          <w:szCs w:val="28"/>
          <w:lang w:val="de-DE"/>
        </w:rPr>
        <w:t>Căn cứ Nghị định số 90/2016/NĐ-CP ngày 01 tháng 7 năm 2016 của Chính phủ</w:t>
      </w:r>
      <w:r w:rsidRPr="00B41FB8">
        <w:rPr>
          <w:i/>
          <w:sz w:val="28"/>
          <w:szCs w:val="28"/>
          <w:lang w:val="de-DE"/>
        </w:rPr>
        <w:t xml:space="preserve"> quy định về điều trị nghiện các chất dạng thuốc phiện bằng thuốc thay thế;</w:t>
      </w:r>
    </w:p>
    <w:p w:rsidR="00F95D18" w:rsidRPr="00B41FB8" w:rsidRDefault="00F95D18" w:rsidP="008B30FC">
      <w:pPr>
        <w:widowControl w:val="0"/>
        <w:spacing w:after="120" w:line="340" w:lineRule="exact"/>
        <w:ind w:right="34" w:firstLine="720"/>
        <w:jc w:val="both"/>
        <w:rPr>
          <w:i/>
          <w:sz w:val="28"/>
          <w:szCs w:val="28"/>
          <w:lang w:val="de-DE"/>
        </w:rPr>
      </w:pPr>
      <w:r w:rsidRPr="00B41FB8">
        <w:rPr>
          <w:i/>
          <w:sz w:val="28"/>
          <w:szCs w:val="28"/>
          <w:lang w:val="de-DE"/>
        </w:rPr>
        <w:t>Căn cứ Nghị đ</w:t>
      </w:r>
      <w:r w:rsidR="00783572">
        <w:rPr>
          <w:i/>
          <w:sz w:val="28"/>
          <w:szCs w:val="28"/>
          <w:lang w:val="de-DE"/>
        </w:rPr>
        <w:t>ị</w:t>
      </w:r>
      <w:r w:rsidRPr="00B41FB8">
        <w:rPr>
          <w:i/>
          <w:sz w:val="28"/>
          <w:szCs w:val="28"/>
          <w:lang w:val="de-DE"/>
        </w:rPr>
        <w:t xml:space="preserve">nh số 34/2016/NĐ-CP ngày 14 tháng 5 năm 2016 của Chính phủ quy định chi tiết một số điều và biện pháp thi </w:t>
      </w:r>
      <w:r w:rsidR="00A30AA2" w:rsidRPr="00B41FB8">
        <w:rPr>
          <w:i/>
          <w:sz w:val="28"/>
          <w:szCs w:val="28"/>
          <w:lang w:val="de-DE"/>
        </w:rPr>
        <w:t>hành</w:t>
      </w:r>
      <w:r w:rsidRPr="00B41FB8">
        <w:rPr>
          <w:i/>
          <w:sz w:val="28"/>
          <w:szCs w:val="28"/>
          <w:lang w:val="de-DE"/>
        </w:rPr>
        <w:t xml:space="preserve"> Luật </w:t>
      </w:r>
      <w:r w:rsidR="003A42C9" w:rsidRPr="00B41FB8">
        <w:rPr>
          <w:i/>
          <w:sz w:val="28"/>
          <w:szCs w:val="28"/>
          <w:lang w:val="de-DE"/>
        </w:rPr>
        <w:t>B</w:t>
      </w:r>
      <w:r w:rsidRPr="00B41FB8">
        <w:rPr>
          <w:i/>
          <w:sz w:val="28"/>
          <w:szCs w:val="28"/>
          <w:lang w:val="de-DE"/>
        </w:rPr>
        <w:t>an hành văn bản quy phạm pháp luật;</w:t>
      </w:r>
    </w:p>
    <w:p w:rsidR="00F95D18" w:rsidRPr="00B41FB8" w:rsidRDefault="00F95D18" w:rsidP="008B30FC">
      <w:pPr>
        <w:widowControl w:val="0"/>
        <w:spacing w:after="120" w:line="340" w:lineRule="exact"/>
        <w:ind w:right="34" w:firstLine="720"/>
        <w:jc w:val="both"/>
        <w:rPr>
          <w:i/>
          <w:sz w:val="28"/>
          <w:szCs w:val="28"/>
          <w:lang w:val="de-DE"/>
        </w:rPr>
      </w:pPr>
      <w:r w:rsidRPr="00B41FB8">
        <w:rPr>
          <w:i/>
          <w:sz w:val="28"/>
          <w:szCs w:val="28"/>
          <w:lang w:val="de-DE"/>
        </w:rPr>
        <w:t>Căn cứ Nghị định số 163/2016/NĐ-CP ngày 21 tháng 12 năm 2016 của Chính phủ quy định chi tiết thi hành một số điều của Luật Ngân sách nhà nước;</w:t>
      </w:r>
    </w:p>
    <w:p w:rsidR="00F95D18" w:rsidRPr="00B41FB8" w:rsidRDefault="00F95D18" w:rsidP="008B30FC">
      <w:pPr>
        <w:widowControl w:val="0"/>
        <w:spacing w:after="120" w:line="340" w:lineRule="exact"/>
        <w:ind w:right="34" w:firstLine="720"/>
        <w:jc w:val="both"/>
        <w:rPr>
          <w:i/>
          <w:sz w:val="28"/>
          <w:szCs w:val="28"/>
          <w:lang w:val="de-DE"/>
        </w:rPr>
      </w:pPr>
      <w:r w:rsidRPr="00B41FB8">
        <w:rPr>
          <w:i/>
          <w:sz w:val="28"/>
          <w:szCs w:val="28"/>
          <w:lang w:val="de-DE"/>
        </w:rPr>
        <w:t>Căn cứ Thông tư số 73/2017/TT-BTC ngày 17 tháng 7 năm 2017 của Bộ trưởng Bộ Tài chính quy định quản lý và sử dụng nguồn ngân sách nhà nước bảo đảm, hỗ trợ chi phí khám sức khỏe và chi phí điều trị nghiện các chất dạng thuốc phiện bằng thuốc thay thế;</w:t>
      </w:r>
    </w:p>
    <w:p w:rsidR="00F95D18" w:rsidRPr="00B41FB8" w:rsidRDefault="00F95D18" w:rsidP="008B30FC">
      <w:pPr>
        <w:widowControl w:val="0"/>
        <w:spacing w:after="120" w:line="340" w:lineRule="exact"/>
        <w:ind w:right="34" w:firstLine="720"/>
        <w:jc w:val="both"/>
        <w:rPr>
          <w:i/>
          <w:spacing w:val="-4"/>
          <w:kern w:val="16"/>
          <w:sz w:val="28"/>
          <w:szCs w:val="28"/>
          <w:lang w:val="de-DE"/>
        </w:rPr>
      </w:pPr>
      <w:r w:rsidRPr="00B41FB8">
        <w:rPr>
          <w:i/>
          <w:sz w:val="28"/>
          <w:szCs w:val="28"/>
          <w:lang w:val="de-DE"/>
        </w:rPr>
        <w:t>Xét Tờ trình số</w:t>
      </w:r>
      <w:r w:rsidR="00363392" w:rsidRPr="00B41FB8">
        <w:rPr>
          <w:i/>
          <w:sz w:val="28"/>
          <w:szCs w:val="28"/>
          <w:lang w:val="de-DE"/>
        </w:rPr>
        <w:t xml:space="preserve"> 4364</w:t>
      </w:r>
      <w:r w:rsidRPr="00B41FB8">
        <w:rPr>
          <w:i/>
          <w:sz w:val="28"/>
          <w:szCs w:val="28"/>
          <w:lang w:val="de-DE"/>
        </w:rPr>
        <w:t>/TTr-UBND ngày</w:t>
      </w:r>
      <w:r w:rsidR="00363392" w:rsidRPr="00B41FB8">
        <w:rPr>
          <w:i/>
          <w:sz w:val="28"/>
          <w:szCs w:val="28"/>
          <w:lang w:val="de-DE"/>
        </w:rPr>
        <w:t xml:space="preserve"> 01 </w:t>
      </w:r>
      <w:r w:rsidRPr="00B41FB8">
        <w:rPr>
          <w:i/>
          <w:sz w:val="28"/>
          <w:szCs w:val="28"/>
          <w:lang w:val="de-DE"/>
        </w:rPr>
        <w:t xml:space="preserve">tháng </w:t>
      </w:r>
      <w:r w:rsidR="00363392" w:rsidRPr="00B41FB8">
        <w:rPr>
          <w:i/>
          <w:sz w:val="28"/>
          <w:szCs w:val="28"/>
          <w:lang w:val="de-DE"/>
        </w:rPr>
        <w:t>7</w:t>
      </w:r>
      <w:r w:rsidRPr="00B41FB8">
        <w:rPr>
          <w:i/>
          <w:sz w:val="28"/>
          <w:szCs w:val="28"/>
          <w:lang w:val="de-DE"/>
        </w:rPr>
        <w:t xml:space="preserve"> năm 2019 của Ủy ban nhân dân thành phố về việc xem xét thông qua Nghị quyết quy định </w:t>
      </w:r>
      <w:r w:rsidRPr="00B41FB8">
        <w:rPr>
          <w:i/>
          <w:sz w:val="28"/>
          <w:szCs w:val="28"/>
        </w:rPr>
        <w:t xml:space="preserve">hỗ trợ chi phí khám sức khỏe và chi phí điều trị cho bệnh nhân tự nguyện tham gia điều trị nghiện các chất dạng thuốc phiện bằng thuốc thay thế Methadone tại thành phố Đà Nẵng; </w:t>
      </w:r>
      <w:r w:rsidRPr="00B41FB8">
        <w:rPr>
          <w:i/>
          <w:spacing w:val="-4"/>
          <w:kern w:val="16"/>
          <w:sz w:val="28"/>
          <w:szCs w:val="28"/>
          <w:lang w:val="de-DE"/>
        </w:rPr>
        <w:t>Báo cáo thẩm tra của Ban Văn hóa - Xã hội</w:t>
      </w:r>
      <w:r w:rsidR="00A30AA2" w:rsidRPr="00B41FB8">
        <w:rPr>
          <w:i/>
          <w:spacing w:val="-4"/>
          <w:kern w:val="16"/>
          <w:sz w:val="28"/>
          <w:szCs w:val="28"/>
          <w:lang w:val="de-DE"/>
        </w:rPr>
        <w:t>,</w:t>
      </w:r>
      <w:r w:rsidRPr="00B41FB8">
        <w:rPr>
          <w:i/>
          <w:spacing w:val="-4"/>
          <w:kern w:val="16"/>
          <w:sz w:val="28"/>
          <w:szCs w:val="28"/>
          <w:lang w:val="de-DE"/>
        </w:rPr>
        <w:t xml:space="preserve"> Hội đồng nhân dân thành phố; ý kiến thảo luận của các vị đại biểu Hội đồng nhân dân thành phố tại kỳ họp.</w:t>
      </w:r>
    </w:p>
    <w:p w:rsidR="00F95D18" w:rsidRPr="00B41FB8" w:rsidRDefault="00F95D18" w:rsidP="005E5106">
      <w:pPr>
        <w:widowControl w:val="0"/>
        <w:spacing w:before="240" w:after="120"/>
        <w:ind w:right="36"/>
        <w:jc w:val="center"/>
        <w:rPr>
          <w:b/>
          <w:sz w:val="4"/>
          <w:szCs w:val="28"/>
        </w:rPr>
      </w:pPr>
      <w:r w:rsidRPr="00B41FB8">
        <w:rPr>
          <w:b/>
          <w:sz w:val="28"/>
          <w:szCs w:val="28"/>
        </w:rPr>
        <w:t>QUYẾT NGHỊ:</w:t>
      </w:r>
    </w:p>
    <w:p w:rsidR="00F95D18" w:rsidRPr="00B41FB8" w:rsidRDefault="00F95D18" w:rsidP="008B30FC">
      <w:pPr>
        <w:widowControl w:val="0"/>
        <w:spacing w:after="120" w:line="340" w:lineRule="exact"/>
        <w:ind w:right="34" w:firstLine="720"/>
        <w:jc w:val="both"/>
        <w:rPr>
          <w:b/>
          <w:sz w:val="28"/>
          <w:szCs w:val="28"/>
          <w:lang w:val="de-DE"/>
        </w:rPr>
      </w:pPr>
      <w:r w:rsidRPr="00B41FB8">
        <w:rPr>
          <w:b/>
          <w:sz w:val="28"/>
          <w:szCs w:val="28"/>
          <w:lang w:val="de-DE"/>
        </w:rPr>
        <w:t xml:space="preserve">Điều 1. Quy định chính sách </w:t>
      </w:r>
      <w:r w:rsidRPr="00B41FB8">
        <w:rPr>
          <w:b/>
          <w:sz w:val="28"/>
          <w:szCs w:val="28"/>
        </w:rPr>
        <w:t>hỗ trợ chi phí khám sức khỏe và chi phí điều trị cho bệnh nhân tự nguyện tham gia điều trị nghiện các chất dạng thuốc phiện bằng thuốc thay thế Methadone</w:t>
      </w:r>
      <w:r w:rsidRPr="00B41FB8">
        <w:rPr>
          <w:b/>
          <w:sz w:val="28"/>
          <w:szCs w:val="28"/>
          <w:lang w:val="de-DE"/>
        </w:rPr>
        <w:t xml:space="preserve"> tại các cơ sở điều trị của Nhà nước thuộc thành </w:t>
      </w:r>
      <w:r w:rsidRPr="00B41FB8">
        <w:rPr>
          <w:b/>
          <w:sz w:val="28"/>
          <w:szCs w:val="28"/>
          <w:lang w:val="de-DE"/>
        </w:rPr>
        <w:lastRenderedPageBreak/>
        <w:t>phố Đà Nẵng</w:t>
      </w:r>
    </w:p>
    <w:p w:rsidR="00F95D18" w:rsidRPr="00B41FB8" w:rsidRDefault="00F95D18" w:rsidP="008B30FC">
      <w:pPr>
        <w:widowControl w:val="0"/>
        <w:spacing w:after="120" w:line="340" w:lineRule="exact"/>
        <w:ind w:right="34" w:firstLine="720"/>
        <w:jc w:val="both"/>
        <w:rPr>
          <w:bCs/>
          <w:sz w:val="28"/>
          <w:szCs w:val="28"/>
          <w:lang w:val="de-DE"/>
        </w:rPr>
      </w:pPr>
      <w:r w:rsidRPr="00B41FB8">
        <w:rPr>
          <w:bCs/>
          <w:sz w:val="28"/>
          <w:szCs w:val="28"/>
          <w:lang w:val="de-DE"/>
        </w:rPr>
        <w:t>1. Đối tượng áp dụng</w:t>
      </w:r>
    </w:p>
    <w:p w:rsidR="00F95D18" w:rsidRPr="00B41FB8" w:rsidRDefault="00F95D18" w:rsidP="008B30FC">
      <w:pPr>
        <w:widowControl w:val="0"/>
        <w:spacing w:after="120" w:line="340" w:lineRule="exact"/>
        <w:ind w:right="34" w:firstLine="720"/>
        <w:jc w:val="both"/>
        <w:rPr>
          <w:sz w:val="28"/>
          <w:szCs w:val="28"/>
          <w:lang w:val="de-DE"/>
        </w:rPr>
      </w:pPr>
      <w:r w:rsidRPr="00B41FB8">
        <w:rPr>
          <w:sz w:val="28"/>
          <w:szCs w:val="28"/>
          <w:lang w:val="de-DE"/>
        </w:rPr>
        <w:t>a) Các cơ sở điều trị nghiện các chất dạng thuốc phiện bằng thuốc thay thế Methadone của Nhà nước thuộc thành phố Đà Nẵng.</w:t>
      </w:r>
    </w:p>
    <w:p w:rsidR="00F95D18" w:rsidRPr="00B41FB8" w:rsidRDefault="00F95D18" w:rsidP="008B30FC">
      <w:pPr>
        <w:widowControl w:val="0"/>
        <w:spacing w:after="120" w:line="340" w:lineRule="exact"/>
        <w:ind w:right="34" w:firstLine="720"/>
        <w:jc w:val="both"/>
        <w:rPr>
          <w:sz w:val="28"/>
          <w:szCs w:val="28"/>
          <w:lang w:val="de-DE"/>
        </w:rPr>
      </w:pPr>
      <w:r w:rsidRPr="00B41FB8">
        <w:rPr>
          <w:sz w:val="28"/>
          <w:szCs w:val="28"/>
          <w:lang w:val="de-DE"/>
        </w:rPr>
        <w:t>b) Cơ quan, tổ chức, cá nhân liên quan đến quản lý, cung ứng, sử dụng dịch vụ điều trị nghiện các chất dạng thuốc phiện bằng thuốc thay thế Methadone tại cơ sở điều trị của Nhà nước thuộc thành phố Đà Nẵng.</w:t>
      </w:r>
    </w:p>
    <w:p w:rsidR="00F95D18" w:rsidRPr="00B41FB8" w:rsidRDefault="00F95D18" w:rsidP="008B30FC">
      <w:pPr>
        <w:widowControl w:val="0"/>
        <w:spacing w:after="120" w:line="340" w:lineRule="exact"/>
        <w:ind w:right="34" w:firstLine="720"/>
        <w:jc w:val="both"/>
        <w:rPr>
          <w:sz w:val="28"/>
          <w:szCs w:val="28"/>
          <w:lang w:val="de-DE"/>
        </w:rPr>
      </w:pPr>
      <w:r w:rsidRPr="00B41FB8">
        <w:rPr>
          <w:sz w:val="28"/>
          <w:szCs w:val="28"/>
          <w:lang w:val="de-DE"/>
        </w:rPr>
        <w:t>c) Bệnh nhân điều trị nghiện các chất dạng thuốc phiện bằng thuốc thay thế Methadone tại các cơ sở điều trị của Nhà nước thuộc thành phố Đà Nẵng.</w:t>
      </w:r>
    </w:p>
    <w:p w:rsidR="00F95D18" w:rsidRPr="00B41FB8" w:rsidRDefault="00F95D18" w:rsidP="008B30FC">
      <w:pPr>
        <w:widowControl w:val="0"/>
        <w:spacing w:after="120" w:line="340" w:lineRule="exact"/>
        <w:ind w:right="34" w:firstLine="720"/>
        <w:jc w:val="both"/>
        <w:rPr>
          <w:bCs/>
          <w:sz w:val="28"/>
          <w:szCs w:val="28"/>
          <w:lang w:val="de-DE"/>
        </w:rPr>
      </w:pPr>
      <w:r w:rsidRPr="00B41FB8">
        <w:rPr>
          <w:bCs/>
          <w:sz w:val="28"/>
          <w:szCs w:val="28"/>
          <w:lang w:val="de-DE"/>
        </w:rPr>
        <w:t xml:space="preserve">2. Chính sách hỗ trợ </w:t>
      </w:r>
    </w:p>
    <w:p w:rsidR="00F95D18" w:rsidRPr="00B41FB8" w:rsidRDefault="00F95D18" w:rsidP="008B30FC">
      <w:pPr>
        <w:widowControl w:val="0"/>
        <w:spacing w:after="120" w:line="340" w:lineRule="exact"/>
        <w:ind w:right="34" w:firstLine="720"/>
        <w:jc w:val="both"/>
        <w:rPr>
          <w:sz w:val="28"/>
          <w:szCs w:val="28"/>
          <w:lang w:val="de-DE"/>
        </w:rPr>
      </w:pPr>
      <w:r w:rsidRPr="00B41FB8">
        <w:rPr>
          <w:sz w:val="28"/>
          <w:szCs w:val="28"/>
          <w:lang w:val="de-DE"/>
        </w:rPr>
        <w:t>a) Hỗ trợ 100% chi phí khám lâm sàng, xét nghiệm và chi phí điều trị theo hướng dẫn điều trị nghiện các chất dạng thuốc phiện bằng thuốc Methadone do Bộ trưởng Bộ Y tế quy định. Mức hỗ trợ áp dụng theo giá dịch vụ khám bệnh, chữa bệnh, giá dịch vụ điều trị nghiện do cơ quan có thẩm quyền quyết định đối với cơ sở khám bệnh, chữa bệnh của Nhà nước, cơ sở điều trị nghiện của Nhà nước.</w:t>
      </w:r>
    </w:p>
    <w:p w:rsidR="00F95D18" w:rsidRPr="00B41FB8" w:rsidRDefault="00F95D18" w:rsidP="008B30FC">
      <w:pPr>
        <w:widowControl w:val="0"/>
        <w:spacing w:after="120" w:line="340" w:lineRule="exact"/>
        <w:ind w:right="34" w:firstLine="720"/>
        <w:jc w:val="both"/>
        <w:rPr>
          <w:sz w:val="28"/>
          <w:szCs w:val="28"/>
        </w:rPr>
      </w:pPr>
      <w:r w:rsidRPr="00B41FB8">
        <w:rPr>
          <w:sz w:val="28"/>
          <w:szCs w:val="28"/>
          <w:lang w:val="de-DE"/>
        </w:rPr>
        <w:t>b) Hỗ trợ 100% chi phí khác bao gồm</w:t>
      </w:r>
      <w:r w:rsidRPr="00B41FB8">
        <w:rPr>
          <w:sz w:val="28"/>
          <w:szCs w:val="28"/>
        </w:rPr>
        <w:t xml:space="preserve"> ly nhựa; vật tư, thiết bị dụng cụ y tế; nước uống cho bệnh nhân; photo biểu mẫu sổ sách, văn phòng phẩm; vật tư dụng cụ vệ sinh; tiêu hủy vỏ chai Methadone, xử lý rác thải; sinh hoạt câu lạc bộ bệnh nhân; điện bảo quản kho thuốc, hệ thống báo động, camera; chi phí điện thoại, Internet phục vụ điều trị; thẻ và mực in thẻ bệnh nhân; sửa chữa thay thế trang thiết bị vật tư y tế, công cụ dụng cụ, linh</w:t>
      </w:r>
      <w:r w:rsidR="00446CA3" w:rsidRPr="00B41FB8">
        <w:rPr>
          <w:sz w:val="28"/>
          <w:szCs w:val="28"/>
        </w:rPr>
        <w:t xml:space="preserve"> kiện, máy móc, hiệu chuẩn ẩm kế</w:t>
      </w:r>
      <w:r w:rsidRPr="00B41FB8">
        <w:rPr>
          <w:sz w:val="28"/>
          <w:szCs w:val="28"/>
        </w:rPr>
        <w:t>, nhiệt kế; hội chẩn ca bệnh liên viện</w:t>
      </w:r>
      <w:r w:rsidRPr="00B41FB8">
        <w:rPr>
          <w:sz w:val="28"/>
          <w:szCs w:val="28"/>
          <w:lang w:val="de-DE"/>
        </w:rPr>
        <w:t xml:space="preserve"> phục vụ cho công tác điều trị </w:t>
      </w:r>
      <w:r w:rsidRPr="00B41FB8">
        <w:rPr>
          <w:sz w:val="28"/>
          <w:szCs w:val="28"/>
        </w:rPr>
        <w:t>theo số lượng chi thực tế hàng năm nhưng không vượt quá định mức kinh tế kỹ thuật làm cơ sở xây dựng giá dịch vụ điều trị nghiện các chất dạng thuốc phiện bằng thuốc thay thế do Bộ trưởng Bộ Y tế quy định hiện hành.</w:t>
      </w:r>
    </w:p>
    <w:p w:rsidR="00F95D18" w:rsidRPr="00B41FB8" w:rsidRDefault="00F95D18" w:rsidP="008B30FC">
      <w:pPr>
        <w:widowControl w:val="0"/>
        <w:spacing w:after="120" w:line="340" w:lineRule="exact"/>
        <w:ind w:right="34" w:firstLine="720"/>
        <w:jc w:val="both"/>
        <w:rPr>
          <w:sz w:val="28"/>
          <w:szCs w:val="28"/>
        </w:rPr>
      </w:pPr>
      <w:r w:rsidRPr="00B41FB8">
        <w:rPr>
          <w:b/>
          <w:sz w:val="28"/>
          <w:szCs w:val="28"/>
        </w:rPr>
        <w:t>Điều 2: Nguồn kinh phí thực hiện</w:t>
      </w:r>
    </w:p>
    <w:p w:rsidR="00F95D18" w:rsidRPr="00B41FB8" w:rsidRDefault="00F95D18" w:rsidP="008B30FC">
      <w:pPr>
        <w:widowControl w:val="0"/>
        <w:spacing w:after="120" w:line="340" w:lineRule="exact"/>
        <w:ind w:right="34" w:firstLine="720"/>
        <w:jc w:val="both"/>
        <w:rPr>
          <w:sz w:val="28"/>
          <w:szCs w:val="28"/>
        </w:rPr>
      </w:pPr>
      <w:r w:rsidRPr="00B41FB8">
        <w:rPr>
          <w:sz w:val="28"/>
          <w:szCs w:val="28"/>
        </w:rPr>
        <w:t>Kinh phí thực hiện hỗ trợ chi phí khám sức khỏe và chi phí điều trị cho bệnh nhân tự nguyện tham gia điều trị nghiện các chất dạng thuốc phiện bằng thuốc thay thế Methadone do ngân sách thành phố đảm bảo, bố trí trong dự toán chi sự nghiệp y tế hằng năm theo quy định của Luật Ngân sách nhà nước và thực hiện quyết toán theo số lượng chi thực tế hàng năm.</w:t>
      </w:r>
    </w:p>
    <w:p w:rsidR="003A42C9" w:rsidRPr="00B41FB8" w:rsidRDefault="00F95D18" w:rsidP="008B30FC">
      <w:pPr>
        <w:widowControl w:val="0"/>
        <w:spacing w:after="120" w:line="340" w:lineRule="exact"/>
        <w:ind w:right="34" w:firstLine="720"/>
        <w:jc w:val="both"/>
        <w:rPr>
          <w:b/>
          <w:sz w:val="28"/>
          <w:szCs w:val="28"/>
          <w:lang w:val="de-DE"/>
        </w:rPr>
      </w:pPr>
      <w:r w:rsidRPr="00B41FB8">
        <w:rPr>
          <w:b/>
          <w:sz w:val="28"/>
          <w:szCs w:val="28"/>
          <w:lang w:val="de-DE"/>
        </w:rPr>
        <w:t xml:space="preserve">Điều 3. </w:t>
      </w:r>
      <w:r w:rsidR="003A42C9" w:rsidRPr="00B41FB8">
        <w:rPr>
          <w:b/>
          <w:sz w:val="28"/>
          <w:szCs w:val="28"/>
          <w:lang w:val="de-DE"/>
        </w:rPr>
        <w:t>Hiệu lực thi hành</w:t>
      </w:r>
    </w:p>
    <w:p w:rsidR="003A42C9" w:rsidRPr="00B41FB8" w:rsidRDefault="003A42C9" w:rsidP="008B30FC">
      <w:pPr>
        <w:widowControl w:val="0"/>
        <w:spacing w:after="120" w:line="340" w:lineRule="exact"/>
        <w:ind w:right="34" w:firstLine="720"/>
        <w:jc w:val="both"/>
        <w:rPr>
          <w:sz w:val="28"/>
          <w:szCs w:val="28"/>
          <w:lang w:val="de-DE"/>
        </w:rPr>
      </w:pPr>
      <w:r w:rsidRPr="00B41FB8">
        <w:rPr>
          <w:sz w:val="28"/>
          <w:szCs w:val="28"/>
          <w:lang w:val="de-DE"/>
        </w:rPr>
        <w:t>Nghị quyết này có hiệu lực từ ngày 01 tháng 8 năm 2019.</w:t>
      </w:r>
    </w:p>
    <w:p w:rsidR="003A42C9" w:rsidRPr="00B41FB8" w:rsidRDefault="00F95D18" w:rsidP="008B30FC">
      <w:pPr>
        <w:widowControl w:val="0"/>
        <w:spacing w:after="120" w:line="340" w:lineRule="exact"/>
        <w:ind w:right="34" w:firstLine="720"/>
        <w:jc w:val="both"/>
        <w:rPr>
          <w:b/>
          <w:sz w:val="28"/>
          <w:szCs w:val="28"/>
          <w:lang w:val="de-DE"/>
        </w:rPr>
      </w:pPr>
      <w:r w:rsidRPr="00B41FB8">
        <w:rPr>
          <w:b/>
          <w:sz w:val="28"/>
          <w:szCs w:val="28"/>
          <w:lang w:val="de-DE"/>
        </w:rPr>
        <w:t xml:space="preserve">Điều 4: </w:t>
      </w:r>
      <w:r w:rsidR="003A42C9" w:rsidRPr="00B41FB8">
        <w:rPr>
          <w:b/>
          <w:sz w:val="28"/>
          <w:szCs w:val="28"/>
          <w:lang w:val="de-DE"/>
        </w:rPr>
        <w:t>Tổ chức thực hiện</w:t>
      </w:r>
    </w:p>
    <w:p w:rsidR="003A42C9" w:rsidRPr="00B41FB8" w:rsidRDefault="003A42C9" w:rsidP="008B30FC">
      <w:pPr>
        <w:widowControl w:val="0"/>
        <w:spacing w:after="120" w:line="340" w:lineRule="exact"/>
        <w:ind w:right="34" w:firstLine="720"/>
        <w:jc w:val="both"/>
        <w:rPr>
          <w:sz w:val="28"/>
          <w:szCs w:val="28"/>
          <w:lang w:val="de-DE"/>
        </w:rPr>
      </w:pPr>
      <w:r w:rsidRPr="00B41FB8">
        <w:rPr>
          <w:sz w:val="28"/>
          <w:szCs w:val="28"/>
          <w:lang w:val="de-DE"/>
        </w:rPr>
        <w:t>1. Ủy ban nhân dân thành phố triển khai thực hiện Nghị quyết này theo đúng quy định pháp luật.</w:t>
      </w:r>
    </w:p>
    <w:p w:rsidR="003A42C9" w:rsidRPr="00B41FB8" w:rsidRDefault="003A42C9" w:rsidP="008B30FC">
      <w:pPr>
        <w:widowControl w:val="0"/>
        <w:spacing w:after="120" w:line="340" w:lineRule="exact"/>
        <w:ind w:right="34" w:firstLine="720"/>
        <w:jc w:val="both"/>
        <w:rPr>
          <w:sz w:val="28"/>
          <w:szCs w:val="28"/>
          <w:lang w:val="de-DE"/>
        </w:rPr>
      </w:pPr>
      <w:r w:rsidRPr="00B41FB8">
        <w:rPr>
          <w:sz w:val="28"/>
          <w:szCs w:val="28"/>
          <w:lang w:val="de-DE"/>
        </w:rPr>
        <w:lastRenderedPageBreak/>
        <w:t>2. Thường trực Hội đồng nhân dân thành phố, các Ban, các Tổ đại biểu và đại biểu Hội đồng nhân dân thành phố giám sát việc thực hiện Nghị quyết này.</w:t>
      </w:r>
    </w:p>
    <w:p w:rsidR="00F95D18" w:rsidRPr="00B41FB8" w:rsidRDefault="00F95D18" w:rsidP="008B30FC">
      <w:pPr>
        <w:widowControl w:val="0"/>
        <w:spacing w:after="240"/>
        <w:ind w:right="34" w:firstLine="720"/>
        <w:jc w:val="both"/>
        <w:rPr>
          <w:sz w:val="28"/>
          <w:szCs w:val="28"/>
          <w:lang w:val="de-DE"/>
        </w:rPr>
      </w:pPr>
      <w:r w:rsidRPr="00B41FB8">
        <w:rPr>
          <w:sz w:val="28"/>
          <w:szCs w:val="28"/>
          <w:lang w:val="de-DE"/>
        </w:rPr>
        <w:t xml:space="preserve">Nghị quyết này được Hội đồng nhân dân thành phố Đà Nẵng khóa IX, </w:t>
      </w:r>
      <w:r w:rsidR="003A42C9" w:rsidRPr="00B41FB8">
        <w:rPr>
          <w:sz w:val="28"/>
          <w:szCs w:val="28"/>
          <w:lang w:val="de-DE"/>
        </w:rPr>
        <w:t xml:space="preserve">nhiệm kỳ 2016-2021, </w:t>
      </w:r>
      <w:r w:rsidRPr="00B41FB8">
        <w:rPr>
          <w:sz w:val="28"/>
          <w:szCs w:val="28"/>
          <w:lang w:val="de-DE"/>
        </w:rPr>
        <w:t>kỳ họp thứ 11</w:t>
      </w:r>
      <w:r w:rsidR="00AD2F0C">
        <w:rPr>
          <w:sz w:val="28"/>
          <w:szCs w:val="28"/>
          <w:lang w:val="de-DE"/>
        </w:rPr>
        <w:t>,</w:t>
      </w:r>
      <w:r w:rsidRPr="00B41FB8">
        <w:rPr>
          <w:sz w:val="28"/>
          <w:szCs w:val="28"/>
          <w:lang w:val="de-DE"/>
        </w:rPr>
        <w:t xml:space="preserve"> thông qua ngày</w:t>
      </w:r>
      <w:r w:rsidR="003A42C9" w:rsidRPr="00B41FB8">
        <w:rPr>
          <w:sz w:val="28"/>
          <w:szCs w:val="28"/>
          <w:lang w:val="de-DE"/>
        </w:rPr>
        <w:t xml:space="preserve"> 11 tháng 7 </w:t>
      </w:r>
      <w:r w:rsidRPr="00B41FB8">
        <w:rPr>
          <w:sz w:val="28"/>
          <w:szCs w:val="28"/>
          <w:lang w:val="de-DE"/>
        </w:rPr>
        <w:t>năm 2019./.</w:t>
      </w:r>
    </w:p>
    <w:tbl>
      <w:tblPr>
        <w:tblW w:w="9464" w:type="dxa"/>
        <w:tblLook w:val="01E0" w:firstRow="1" w:lastRow="1" w:firstColumn="1" w:lastColumn="1" w:noHBand="0" w:noVBand="0"/>
      </w:tblPr>
      <w:tblGrid>
        <w:gridCol w:w="5353"/>
        <w:gridCol w:w="4111"/>
      </w:tblGrid>
      <w:tr w:rsidR="00F95D18" w:rsidRPr="008E377C" w:rsidTr="00B41FB8">
        <w:trPr>
          <w:trHeight w:val="329"/>
        </w:trPr>
        <w:tc>
          <w:tcPr>
            <w:tcW w:w="5353" w:type="dxa"/>
            <w:vAlign w:val="bottom"/>
          </w:tcPr>
          <w:p w:rsidR="00F95D18" w:rsidRPr="008E377C" w:rsidRDefault="00F95D18" w:rsidP="008E6377">
            <w:pPr>
              <w:widowControl w:val="0"/>
              <w:ind w:right="34"/>
              <w:rPr>
                <w:bCs/>
                <w:sz w:val="22"/>
                <w:szCs w:val="22"/>
              </w:rPr>
            </w:pPr>
          </w:p>
        </w:tc>
        <w:tc>
          <w:tcPr>
            <w:tcW w:w="4111" w:type="dxa"/>
            <w:vMerge w:val="restart"/>
          </w:tcPr>
          <w:p w:rsidR="00F95D18" w:rsidRDefault="00F95D18" w:rsidP="008B30FC">
            <w:pPr>
              <w:widowControl w:val="0"/>
              <w:spacing w:before="120" w:after="120"/>
              <w:ind w:right="36"/>
              <w:jc w:val="center"/>
              <w:rPr>
                <w:b/>
                <w:sz w:val="28"/>
                <w:szCs w:val="28"/>
              </w:rPr>
            </w:pPr>
            <w:r w:rsidRPr="008E377C">
              <w:rPr>
                <w:b/>
                <w:sz w:val="28"/>
                <w:szCs w:val="28"/>
              </w:rPr>
              <w:t>CHỦ TỊCH</w:t>
            </w:r>
            <w:r w:rsidRPr="008E377C" w:rsidDel="00D969B2">
              <w:rPr>
                <w:b/>
                <w:sz w:val="28"/>
                <w:szCs w:val="28"/>
              </w:rPr>
              <w:t xml:space="preserve"> </w:t>
            </w:r>
          </w:p>
          <w:p w:rsidR="002940BF" w:rsidRPr="008E377C" w:rsidRDefault="002940BF" w:rsidP="005E5106">
            <w:pPr>
              <w:widowControl w:val="0"/>
              <w:spacing w:before="120" w:after="120"/>
              <w:ind w:right="36"/>
              <w:jc w:val="center"/>
              <w:rPr>
                <w:b/>
                <w:sz w:val="28"/>
                <w:szCs w:val="28"/>
              </w:rPr>
            </w:pPr>
            <w:r>
              <w:rPr>
                <w:b/>
                <w:sz w:val="28"/>
                <w:szCs w:val="28"/>
              </w:rPr>
              <w:t>Nguyễn Nho Trung</w:t>
            </w:r>
          </w:p>
          <w:p w:rsidR="00F95D18" w:rsidRPr="008E377C" w:rsidRDefault="00F95D18" w:rsidP="005E5106">
            <w:pPr>
              <w:widowControl w:val="0"/>
              <w:spacing w:before="120" w:after="120"/>
              <w:ind w:right="36"/>
              <w:jc w:val="center"/>
              <w:rPr>
                <w:b/>
                <w:sz w:val="28"/>
                <w:szCs w:val="28"/>
              </w:rPr>
            </w:pPr>
          </w:p>
          <w:p w:rsidR="00F95D18" w:rsidRPr="008E377C" w:rsidRDefault="00F95D18" w:rsidP="005E5106">
            <w:pPr>
              <w:widowControl w:val="0"/>
              <w:spacing w:before="120" w:after="120"/>
              <w:ind w:right="36"/>
              <w:jc w:val="center"/>
              <w:rPr>
                <w:b/>
                <w:sz w:val="28"/>
                <w:szCs w:val="28"/>
              </w:rPr>
            </w:pPr>
          </w:p>
        </w:tc>
      </w:tr>
      <w:tr w:rsidR="00F95D18" w:rsidRPr="008E377C" w:rsidTr="00B41FB8">
        <w:trPr>
          <w:trHeight w:val="1560"/>
        </w:trPr>
        <w:tc>
          <w:tcPr>
            <w:tcW w:w="5353" w:type="dxa"/>
          </w:tcPr>
          <w:p w:rsidR="00F95D18" w:rsidRPr="008E377C" w:rsidRDefault="00F95D18" w:rsidP="008E6377">
            <w:pPr>
              <w:widowControl w:val="0"/>
              <w:ind w:right="34"/>
              <w:rPr>
                <w:sz w:val="22"/>
                <w:szCs w:val="22"/>
              </w:rPr>
            </w:pPr>
          </w:p>
        </w:tc>
        <w:tc>
          <w:tcPr>
            <w:tcW w:w="4111" w:type="dxa"/>
            <w:vMerge/>
          </w:tcPr>
          <w:p w:rsidR="00F95D18" w:rsidRPr="008E377C" w:rsidRDefault="00F95D18" w:rsidP="005E5106">
            <w:pPr>
              <w:widowControl w:val="0"/>
              <w:spacing w:before="120" w:after="120"/>
              <w:ind w:right="36"/>
              <w:jc w:val="center"/>
              <w:rPr>
                <w:b/>
                <w:sz w:val="28"/>
                <w:szCs w:val="28"/>
              </w:rPr>
            </w:pPr>
          </w:p>
        </w:tc>
      </w:tr>
    </w:tbl>
    <w:p w:rsidR="00F95D18" w:rsidRPr="008E377C" w:rsidRDefault="00F95D18" w:rsidP="005E5106">
      <w:pPr>
        <w:widowControl w:val="0"/>
        <w:spacing w:before="120" w:after="120"/>
        <w:ind w:right="36"/>
        <w:rPr>
          <w:sz w:val="28"/>
          <w:szCs w:val="28"/>
        </w:rPr>
      </w:pPr>
    </w:p>
    <w:p w:rsidR="0069417C" w:rsidRDefault="0069417C" w:rsidP="005E5106">
      <w:pPr>
        <w:widowControl w:val="0"/>
      </w:pPr>
    </w:p>
    <w:sectPr w:rsidR="0069417C" w:rsidSect="008E6377">
      <w:headerReference w:type="even" r:id="rId10"/>
      <w:headerReference w:type="default" r:id="rId11"/>
      <w:pgSz w:w="11907" w:h="16840" w:code="9"/>
      <w:pgMar w:top="1474" w:right="1134" w:bottom="1134" w:left="1134" w:header="567" w:footer="567" w:gutter="0"/>
      <w:pgNumType w:chapStyle="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CF6" w:rsidRDefault="00E96CF6">
      <w:r>
        <w:separator/>
      </w:r>
    </w:p>
  </w:endnote>
  <w:endnote w:type="continuationSeparator" w:id="0">
    <w:p w:rsidR="00E96CF6" w:rsidRDefault="00E9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CF6" w:rsidRDefault="00E96CF6">
      <w:r>
        <w:separator/>
      </w:r>
    </w:p>
  </w:footnote>
  <w:footnote w:type="continuationSeparator" w:id="0">
    <w:p w:rsidR="00E96CF6" w:rsidRDefault="00E96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9E3" w:rsidRDefault="008C69E3" w:rsidP="008C69E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9E3" w:rsidRPr="008E6377" w:rsidRDefault="008C69E3" w:rsidP="005E5106">
    <w:pPr>
      <w:pStyle w:val="Header"/>
      <w:tabs>
        <w:tab w:val="clear" w:pos="4680"/>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A53E2"/>
    <w:multiLevelType w:val="hybridMultilevel"/>
    <w:tmpl w:val="6A908360"/>
    <w:lvl w:ilvl="0" w:tplc="7348EB70">
      <w:start w:val="1"/>
      <w:numFmt w:val="upperRoman"/>
      <w:pStyle w:val="Motlo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E329B"/>
    <w:multiLevelType w:val="hybridMultilevel"/>
    <w:tmpl w:val="4754E968"/>
    <w:lvl w:ilvl="0" w:tplc="C21EA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D18"/>
    <w:rsid w:val="00022255"/>
    <w:rsid w:val="00035EC8"/>
    <w:rsid w:val="000D4B8D"/>
    <w:rsid w:val="0018237E"/>
    <w:rsid w:val="001D49B5"/>
    <w:rsid w:val="002940BF"/>
    <w:rsid w:val="00363392"/>
    <w:rsid w:val="003A42C9"/>
    <w:rsid w:val="00446CA3"/>
    <w:rsid w:val="005E5106"/>
    <w:rsid w:val="00645E89"/>
    <w:rsid w:val="0069417C"/>
    <w:rsid w:val="006B314F"/>
    <w:rsid w:val="007758F7"/>
    <w:rsid w:val="00783572"/>
    <w:rsid w:val="007942AA"/>
    <w:rsid w:val="008B30FC"/>
    <w:rsid w:val="008C69E3"/>
    <w:rsid w:val="008E6377"/>
    <w:rsid w:val="009024A1"/>
    <w:rsid w:val="00981BCA"/>
    <w:rsid w:val="009A1095"/>
    <w:rsid w:val="00A30AA2"/>
    <w:rsid w:val="00AD2F0C"/>
    <w:rsid w:val="00B41FB8"/>
    <w:rsid w:val="00DB10A9"/>
    <w:rsid w:val="00DC2EB9"/>
    <w:rsid w:val="00E96CF6"/>
    <w:rsid w:val="00F90E5A"/>
    <w:rsid w:val="00F95D18"/>
    <w:rsid w:val="00FA60B8"/>
    <w:rsid w:val="00FA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C68344-3D49-4ABF-912C-5004C248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D18"/>
    <w:rPr>
      <w:rFonts w:eastAsia="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5D18"/>
    <w:pPr>
      <w:spacing w:before="120"/>
      <w:jc w:val="both"/>
    </w:pPr>
    <w:rPr>
      <w:sz w:val="28"/>
      <w:lang w:val="x-none" w:eastAsia="x-none"/>
    </w:rPr>
  </w:style>
  <w:style w:type="character" w:customStyle="1" w:styleId="BodyTextChar">
    <w:name w:val="Body Text Char"/>
    <w:link w:val="BodyText"/>
    <w:rsid w:val="00F95D18"/>
    <w:rPr>
      <w:rFonts w:eastAsia="Times New Roman" w:cs="Times New Roman"/>
      <w:sz w:val="28"/>
      <w:szCs w:val="20"/>
    </w:rPr>
  </w:style>
  <w:style w:type="paragraph" w:styleId="BodyText2">
    <w:name w:val="Body Text 2"/>
    <w:basedOn w:val="Normal"/>
    <w:link w:val="BodyText2Char"/>
    <w:rsid w:val="00F95D18"/>
    <w:pPr>
      <w:jc w:val="both"/>
    </w:pPr>
    <w:rPr>
      <w:sz w:val="28"/>
      <w:lang w:val="x-none" w:eastAsia="x-none"/>
    </w:rPr>
  </w:style>
  <w:style w:type="character" w:customStyle="1" w:styleId="BodyText2Char">
    <w:name w:val="Body Text 2 Char"/>
    <w:link w:val="BodyText2"/>
    <w:rsid w:val="00F95D18"/>
    <w:rPr>
      <w:rFonts w:eastAsia="Times New Roman" w:cs="Times New Roman"/>
      <w:sz w:val="28"/>
      <w:szCs w:val="20"/>
    </w:rPr>
  </w:style>
  <w:style w:type="paragraph" w:customStyle="1" w:styleId="Motlon">
    <w:name w:val="Motlon"/>
    <w:basedOn w:val="Normal"/>
    <w:autoRedefine/>
    <w:rsid w:val="00F95D18"/>
    <w:pPr>
      <w:numPr>
        <w:numId w:val="1"/>
      </w:numPr>
      <w:spacing w:before="120"/>
      <w:ind w:right="36"/>
      <w:jc w:val="both"/>
    </w:pPr>
    <w:rPr>
      <w:bCs/>
      <w:spacing w:val="-2"/>
      <w:sz w:val="28"/>
      <w:szCs w:val="28"/>
      <w:lang w:val="de-DE"/>
    </w:rPr>
  </w:style>
  <w:style w:type="paragraph" w:styleId="Header">
    <w:name w:val="header"/>
    <w:basedOn w:val="Normal"/>
    <w:link w:val="HeaderChar"/>
    <w:uiPriority w:val="99"/>
    <w:unhideWhenUsed/>
    <w:rsid w:val="00F95D18"/>
    <w:pPr>
      <w:tabs>
        <w:tab w:val="center" w:pos="4680"/>
        <w:tab w:val="right" w:pos="9360"/>
      </w:tabs>
    </w:pPr>
    <w:rPr>
      <w:lang w:val="x-none" w:eastAsia="x-none"/>
    </w:rPr>
  </w:style>
  <w:style w:type="character" w:customStyle="1" w:styleId="HeaderChar">
    <w:name w:val="Header Char"/>
    <w:link w:val="Header"/>
    <w:uiPriority w:val="99"/>
    <w:rsid w:val="00F95D18"/>
    <w:rPr>
      <w:rFonts w:eastAsia="Times New Roman" w:cs="Times New Roman"/>
      <w:sz w:val="26"/>
      <w:szCs w:val="20"/>
    </w:rPr>
  </w:style>
  <w:style w:type="paragraph" w:styleId="ListParagraph">
    <w:name w:val="List Paragraph"/>
    <w:basedOn w:val="Normal"/>
    <w:uiPriority w:val="34"/>
    <w:qFormat/>
    <w:rsid w:val="00F95D18"/>
    <w:pPr>
      <w:ind w:left="720"/>
      <w:contextualSpacing/>
    </w:pPr>
  </w:style>
  <w:style w:type="paragraph" w:styleId="Footer">
    <w:name w:val="footer"/>
    <w:basedOn w:val="Normal"/>
    <w:link w:val="FooterChar"/>
    <w:uiPriority w:val="99"/>
    <w:unhideWhenUsed/>
    <w:rsid w:val="002940BF"/>
    <w:pPr>
      <w:tabs>
        <w:tab w:val="center" w:pos="4680"/>
        <w:tab w:val="right" w:pos="9360"/>
      </w:tabs>
    </w:pPr>
    <w:rPr>
      <w:lang w:val="x-none" w:eastAsia="x-none"/>
    </w:rPr>
  </w:style>
  <w:style w:type="character" w:customStyle="1" w:styleId="FooterChar">
    <w:name w:val="Footer Char"/>
    <w:link w:val="Footer"/>
    <w:uiPriority w:val="99"/>
    <w:rsid w:val="002940BF"/>
    <w:rPr>
      <w:rFonts w:eastAsia="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78C87E-72CE-4B61-9B6A-39E7664EFACD}">
  <ds:schemaRefs>
    <ds:schemaRef ds:uri="http://schemas.microsoft.com/sharepoint/v3/contenttype/forms"/>
  </ds:schemaRefs>
</ds:datastoreItem>
</file>

<file path=customXml/itemProps2.xml><?xml version="1.0" encoding="utf-8"?>
<ds:datastoreItem xmlns:ds="http://schemas.openxmlformats.org/officeDocument/2006/customXml" ds:itemID="{27E93850-8768-4517-BA3F-94BEAE46B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E5507A2-7560-489C-9D30-6D4AB671ED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Truong Cong Nguyen Thanh</cp:lastModifiedBy>
  <cp:revision>2</cp:revision>
  <dcterms:created xsi:type="dcterms:W3CDTF">2021-04-13T03:44:00Z</dcterms:created>
  <dcterms:modified xsi:type="dcterms:W3CDTF">2021-04-13T03:44:00Z</dcterms:modified>
</cp:coreProperties>
</file>