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tblInd w:w="-270" w:type="dxa"/>
        <w:tblLook w:val="04A0" w:firstRow="1" w:lastRow="0" w:firstColumn="1" w:lastColumn="0" w:noHBand="0" w:noVBand="1"/>
      </w:tblPr>
      <w:tblGrid>
        <w:gridCol w:w="3780"/>
        <w:gridCol w:w="6107"/>
      </w:tblGrid>
      <w:tr w:rsidR="00F35A7E" w:rsidRPr="00F35A7E" w:rsidTr="00F35A7E">
        <w:trPr>
          <w:trHeight w:val="720"/>
        </w:trPr>
        <w:tc>
          <w:tcPr>
            <w:tcW w:w="3780" w:type="dxa"/>
            <w:shd w:val="clear" w:color="auto" w:fill="auto"/>
          </w:tcPr>
          <w:p w:rsidR="00F35A7E" w:rsidRPr="00F35A7E" w:rsidRDefault="00F35A7E" w:rsidP="00F35A7E">
            <w:pPr>
              <w:ind w:right="-426"/>
              <w:jc w:val="center"/>
              <w:rPr>
                <w:b/>
              </w:rPr>
            </w:pPr>
            <w:r w:rsidRPr="00F35A7E">
              <w:rPr>
                <w:b/>
              </w:rPr>
              <w:t>ỦY BAN NHÂN DÂN</w:t>
            </w:r>
          </w:p>
          <w:p w:rsidR="00F35A7E" w:rsidRPr="00F35A7E" w:rsidRDefault="00F35A7E" w:rsidP="00F35A7E">
            <w:pPr>
              <w:ind w:right="-426"/>
              <w:jc w:val="center"/>
              <w:rPr>
                <w:b/>
              </w:rPr>
            </w:pPr>
            <w:r w:rsidRPr="00F35A7E">
              <w:rPr>
                <w:b/>
              </w:rPr>
              <w:t>THÀNH PHỐ ĐÀ NẴNG</w:t>
            </w:r>
          </w:p>
          <w:p w:rsidR="00F35A7E" w:rsidRDefault="00B26562" w:rsidP="00F35A7E">
            <w:pPr>
              <w:ind w:right="-426"/>
              <w:jc w:val="center"/>
            </w:pPr>
            <w:r w:rsidRPr="00F35A7E">
              <w:rPr>
                <w:b/>
                <w:noProof/>
                <w:sz w:val="20"/>
                <w:lang w:eastAsia="en-US"/>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33020</wp:posOffset>
                      </wp:positionV>
                      <wp:extent cx="1015365" cy="0"/>
                      <wp:effectExtent l="5715" t="6350" r="762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85C9"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6pt" to="13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Vr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R6ExvXAEBldraUBs9qWez0fSbQ0pXLVF7Hhm+nA2kZSEjeZUSNs4A/q7/qBnEkIPXsU2n&#10;xnaokcJ8DYkBHFqBTnEu5/tc+MkjCodZmk3G0w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"/>
                  </w:pict>
                </mc:Fallback>
              </mc:AlternateContent>
            </w:r>
          </w:p>
          <w:p w:rsidR="00F35A7E" w:rsidRPr="00F35A7E" w:rsidRDefault="00F35A7E" w:rsidP="00F35A7E">
            <w:pPr>
              <w:ind w:right="-426"/>
              <w:jc w:val="center"/>
              <w:rPr>
                <w:b/>
              </w:rPr>
            </w:pPr>
            <w:r w:rsidRPr="003B66F0">
              <w:t>Số</w:t>
            </w:r>
            <w:r w:rsidR="008D06B3">
              <w:t>: 13</w:t>
            </w:r>
            <w:r>
              <w:t>/201</w:t>
            </w:r>
            <w:r w:rsidR="00C41B39">
              <w:t>9</w:t>
            </w:r>
            <w:r>
              <w:t>/</w:t>
            </w:r>
            <w:r w:rsidRPr="003B66F0">
              <w:t>QĐ-UBND</w:t>
            </w:r>
          </w:p>
          <w:p w:rsidR="00F35A7E" w:rsidRPr="00F35A7E" w:rsidRDefault="00F35A7E" w:rsidP="00F35A7E">
            <w:pPr>
              <w:ind w:right="-426"/>
              <w:jc w:val="center"/>
              <w:rPr>
                <w:b/>
              </w:rPr>
            </w:pPr>
          </w:p>
        </w:tc>
        <w:tc>
          <w:tcPr>
            <w:tcW w:w="6107" w:type="dxa"/>
            <w:shd w:val="clear" w:color="auto" w:fill="auto"/>
          </w:tcPr>
          <w:p w:rsidR="00F35A7E" w:rsidRPr="00F35A7E" w:rsidRDefault="00F35A7E" w:rsidP="00F35A7E">
            <w:pPr>
              <w:ind w:right="-426"/>
              <w:jc w:val="center"/>
              <w:rPr>
                <w:b/>
                <w:sz w:val="26"/>
                <w:szCs w:val="26"/>
              </w:rPr>
            </w:pPr>
            <w:r w:rsidRPr="00F35A7E">
              <w:rPr>
                <w:b/>
                <w:sz w:val="26"/>
                <w:szCs w:val="26"/>
              </w:rPr>
              <w:t>CỘNG HOÀ XÃ HỘI CHỦ NGHĨA VIỆT NAM</w:t>
            </w:r>
          </w:p>
          <w:p w:rsidR="00F35A7E" w:rsidRPr="00F35A7E" w:rsidRDefault="00F35A7E" w:rsidP="00F35A7E">
            <w:pPr>
              <w:ind w:right="-426"/>
              <w:jc w:val="center"/>
              <w:rPr>
                <w:b/>
              </w:rPr>
            </w:pPr>
            <w:r w:rsidRPr="00F35A7E">
              <w:rPr>
                <w:b/>
              </w:rPr>
              <w:t>Độc lập - Tự do - Hạnh phúc</w:t>
            </w:r>
          </w:p>
          <w:p w:rsidR="00F35A7E" w:rsidRPr="00F35A7E" w:rsidRDefault="00B26562" w:rsidP="00F35A7E">
            <w:pPr>
              <w:ind w:right="-426"/>
              <w:jc w:val="center"/>
              <w:rPr>
                <w:i/>
              </w:rPr>
            </w:pPr>
            <w:r w:rsidRPr="00F35A7E">
              <w:rPr>
                <w:b/>
                <w:noProof/>
                <w:sz w:val="20"/>
                <w:lang w:eastAsia="en-US"/>
              </w:rPr>
              <mc:AlternateContent>
                <mc:Choice Requires="wps">
                  <w:drawing>
                    <wp:anchor distT="0" distB="0" distL="114300" distR="114300" simplePos="0" relativeHeight="251658752" behindDoc="0" locked="0" layoutInCell="1" allowOverlap="1">
                      <wp:simplePos x="0" y="0"/>
                      <wp:positionH relativeFrom="column">
                        <wp:posOffset>906145</wp:posOffset>
                      </wp:positionH>
                      <wp:positionV relativeFrom="paragraph">
                        <wp:posOffset>32385</wp:posOffset>
                      </wp:positionV>
                      <wp:extent cx="2176145" cy="0"/>
                      <wp:effectExtent l="6985" t="10160" r="7620"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491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2.55pt" to="24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"/>
                  </w:pict>
                </mc:Fallback>
              </mc:AlternateContent>
            </w:r>
          </w:p>
          <w:p w:rsidR="00F35A7E" w:rsidRPr="00F35A7E" w:rsidRDefault="00F35A7E" w:rsidP="00F35A7E">
            <w:pPr>
              <w:ind w:right="-426"/>
              <w:jc w:val="center"/>
              <w:rPr>
                <w:i/>
              </w:rPr>
            </w:pPr>
            <w:r w:rsidRPr="00F35A7E">
              <w:rPr>
                <w:i/>
              </w:rPr>
              <w:t>Đà Nẵ</w:t>
            </w:r>
            <w:r w:rsidR="008D06B3">
              <w:rPr>
                <w:i/>
              </w:rPr>
              <w:t xml:space="preserve">ng, ngày 14 tháng </w:t>
            </w:r>
            <w:r w:rsidRPr="00F35A7E">
              <w:rPr>
                <w:i/>
              </w:rPr>
              <w:t xml:space="preserve"> </w:t>
            </w:r>
            <w:r w:rsidR="008D06B3">
              <w:rPr>
                <w:i/>
              </w:rPr>
              <w:t xml:space="preserve">02 </w:t>
            </w:r>
            <w:r w:rsidRPr="00F35A7E">
              <w:rPr>
                <w:i/>
              </w:rPr>
              <w:t xml:space="preserve"> năm 201</w:t>
            </w:r>
            <w:r w:rsidR="00C41B39">
              <w:rPr>
                <w:i/>
              </w:rPr>
              <w:t>9</w:t>
            </w:r>
          </w:p>
          <w:p w:rsidR="00F35A7E" w:rsidRPr="00F35A7E" w:rsidRDefault="00F35A7E" w:rsidP="00F35A7E">
            <w:pPr>
              <w:jc w:val="center"/>
            </w:pPr>
          </w:p>
        </w:tc>
      </w:tr>
    </w:tbl>
    <w:p w:rsidR="00F35A7E" w:rsidRDefault="00F35A7E" w:rsidP="00F35A7E">
      <w:pPr>
        <w:ind w:right="-426"/>
        <w:rPr>
          <w:b/>
        </w:rPr>
      </w:pPr>
    </w:p>
    <w:p w:rsidR="005C2959" w:rsidRPr="00F179D0" w:rsidRDefault="005C2959" w:rsidP="00754DC2">
      <w:pPr>
        <w:ind w:right="-426"/>
        <w:jc w:val="center"/>
        <w:rPr>
          <w:b/>
        </w:rPr>
      </w:pPr>
      <w:r w:rsidRPr="00F179D0">
        <w:rPr>
          <w:b/>
        </w:rPr>
        <w:t>QUYẾT ĐỊNH</w:t>
      </w:r>
    </w:p>
    <w:p w:rsidR="00C10481" w:rsidRDefault="005C2959" w:rsidP="00AD6910">
      <w:pPr>
        <w:ind w:right="-117"/>
        <w:jc w:val="center"/>
        <w:outlineLvl w:val="0"/>
        <w:rPr>
          <w:b/>
          <w:bCs/>
          <w:iCs/>
        </w:rPr>
      </w:pPr>
      <w:r>
        <w:rPr>
          <w:b/>
          <w:bCs/>
          <w:iCs/>
        </w:rPr>
        <w:t>Ban hành Quy chế Quản lý</w:t>
      </w:r>
      <w:r w:rsidR="00BE3AA4">
        <w:rPr>
          <w:b/>
          <w:bCs/>
          <w:iCs/>
        </w:rPr>
        <w:t>,</w:t>
      </w:r>
      <w:r>
        <w:rPr>
          <w:b/>
          <w:bCs/>
          <w:iCs/>
        </w:rPr>
        <w:t xml:space="preserve"> sử dụng </w:t>
      </w:r>
      <w:r w:rsidR="00D92D5D">
        <w:rPr>
          <w:b/>
          <w:bCs/>
          <w:iCs/>
        </w:rPr>
        <w:t xml:space="preserve">nhà </w:t>
      </w:r>
      <w:r>
        <w:rPr>
          <w:b/>
          <w:bCs/>
          <w:iCs/>
        </w:rPr>
        <w:t>chung cư</w:t>
      </w:r>
      <w:r w:rsidR="00026E4D">
        <w:rPr>
          <w:b/>
          <w:bCs/>
          <w:iCs/>
        </w:rPr>
        <w:t xml:space="preserve"> thuộc</w:t>
      </w:r>
    </w:p>
    <w:p w:rsidR="005C2959" w:rsidRDefault="00026E4D" w:rsidP="00AD6910">
      <w:pPr>
        <w:ind w:right="-117"/>
        <w:jc w:val="center"/>
        <w:outlineLvl w:val="0"/>
        <w:rPr>
          <w:b/>
          <w:bCs/>
          <w:iCs/>
        </w:rPr>
      </w:pPr>
      <w:r>
        <w:rPr>
          <w:b/>
          <w:bCs/>
          <w:iCs/>
        </w:rPr>
        <w:t xml:space="preserve"> sở hữu</w:t>
      </w:r>
      <w:r w:rsidR="005C2959">
        <w:rPr>
          <w:b/>
          <w:bCs/>
          <w:iCs/>
        </w:rPr>
        <w:t xml:space="preserve"> Nhà nước</w:t>
      </w:r>
      <w:r w:rsidR="00C10481">
        <w:rPr>
          <w:b/>
          <w:bCs/>
          <w:iCs/>
        </w:rPr>
        <w:t xml:space="preserve"> </w:t>
      </w:r>
      <w:r w:rsidR="005C2959">
        <w:rPr>
          <w:b/>
          <w:bCs/>
          <w:iCs/>
        </w:rPr>
        <w:t>trên địa bàn thành phố Đà Nẵng</w:t>
      </w:r>
    </w:p>
    <w:p w:rsidR="005C2959" w:rsidRPr="00F179D0" w:rsidRDefault="00B26562" w:rsidP="005C2959">
      <w:pPr>
        <w:ind w:right="-573"/>
        <w:jc w:val="center"/>
        <w:rPr>
          <w:b/>
        </w:rPr>
      </w:pPr>
      <w:r>
        <w:rPr>
          <w:b/>
          <w:noProof/>
          <w:sz w:val="20"/>
          <w:lang w:eastAsia="en-US"/>
        </w:rPr>
        <mc:AlternateContent>
          <mc:Choice Requires="wps">
            <w:drawing>
              <wp:anchor distT="0" distB="0" distL="114300" distR="114300" simplePos="0" relativeHeight="251657728" behindDoc="0" locked="0" layoutInCell="1" allowOverlap="1">
                <wp:simplePos x="0" y="0"/>
                <wp:positionH relativeFrom="column">
                  <wp:posOffset>2236470</wp:posOffset>
                </wp:positionH>
                <wp:positionV relativeFrom="paragraph">
                  <wp:posOffset>59690</wp:posOffset>
                </wp:positionV>
                <wp:extent cx="1573530" cy="0"/>
                <wp:effectExtent l="13335" t="6985" r="1333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32DBB"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4.7pt" to="30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y8GQIAADI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"/>
            </w:pict>
          </mc:Fallback>
        </mc:AlternateContent>
      </w:r>
    </w:p>
    <w:p w:rsidR="005C2959" w:rsidRPr="005C2959" w:rsidRDefault="005C2959" w:rsidP="005C2959">
      <w:pPr>
        <w:ind w:right="-426"/>
        <w:jc w:val="center"/>
        <w:rPr>
          <w:b/>
          <w:sz w:val="20"/>
        </w:rPr>
      </w:pPr>
    </w:p>
    <w:p w:rsidR="005C2959" w:rsidRDefault="005C2959" w:rsidP="005C2959">
      <w:pPr>
        <w:ind w:right="-426"/>
        <w:jc w:val="center"/>
        <w:rPr>
          <w:b/>
        </w:rPr>
      </w:pPr>
      <w:r w:rsidRPr="00F179D0">
        <w:rPr>
          <w:b/>
        </w:rPr>
        <w:t>ỦY BAN NHÂN DÂN THÀNH PHỐ ĐÀ NẴNG</w:t>
      </w:r>
    </w:p>
    <w:p w:rsidR="000C21E9" w:rsidRPr="00F179D0" w:rsidRDefault="000C21E9" w:rsidP="005C2959">
      <w:pPr>
        <w:ind w:right="-426"/>
        <w:jc w:val="center"/>
        <w:rPr>
          <w:b/>
        </w:rPr>
      </w:pPr>
    </w:p>
    <w:p w:rsidR="005C2959" w:rsidRPr="00D93910" w:rsidRDefault="005C2959" w:rsidP="002A1D75">
      <w:pPr>
        <w:spacing w:before="120" w:after="120"/>
        <w:ind w:firstLine="720"/>
        <w:jc w:val="both"/>
        <w:rPr>
          <w:i/>
        </w:rPr>
      </w:pPr>
      <w:r w:rsidRPr="00D93910">
        <w:rPr>
          <w:i/>
        </w:rPr>
        <w:t>Căn cứ Luật Tổ chức chính quyền địa phương</w:t>
      </w:r>
      <w:r w:rsidR="00733826" w:rsidRPr="00D93910">
        <w:rPr>
          <w:i/>
        </w:rPr>
        <w:t xml:space="preserve"> số 77/2015/QH13</w:t>
      </w:r>
      <w:r w:rsidR="000C21E9" w:rsidRPr="00D93910">
        <w:rPr>
          <w:i/>
        </w:rPr>
        <w:t xml:space="preserve"> ngày 19 tháng </w:t>
      </w:r>
      <w:r w:rsidRPr="00D93910">
        <w:rPr>
          <w:i/>
        </w:rPr>
        <w:t>6 năm 2015;</w:t>
      </w:r>
    </w:p>
    <w:p w:rsidR="002A1D75" w:rsidRPr="00514567" w:rsidRDefault="00F07ADC" w:rsidP="002A1D75">
      <w:pPr>
        <w:spacing w:before="120" w:after="120"/>
        <w:ind w:firstLine="720"/>
        <w:jc w:val="both"/>
        <w:rPr>
          <w:i/>
        </w:rPr>
      </w:pPr>
      <w:r w:rsidRPr="00514567">
        <w:rPr>
          <w:i/>
        </w:rPr>
        <w:t>Căn cứ Bộ</w:t>
      </w:r>
      <w:r w:rsidR="00BC1FDC">
        <w:rPr>
          <w:i/>
        </w:rPr>
        <w:t xml:space="preserve"> l</w:t>
      </w:r>
      <w:r w:rsidRPr="00514567">
        <w:rPr>
          <w:i/>
        </w:rPr>
        <w:t xml:space="preserve">uật </w:t>
      </w:r>
      <w:r w:rsidR="00BC1FDC">
        <w:rPr>
          <w:i/>
        </w:rPr>
        <w:t>D</w:t>
      </w:r>
      <w:r w:rsidRPr="00514567">
        <w:rPr>
          <w:i/>
        </w:rPr>
        <w:t xml:space="preserve">ân sự số </w:t>
      </w:r>
      <w:r w:rsidR="008A0AC6" w:rsidRPr="00514567">
        <w:rPr>
          <w:i/>
        </w:rPr>
        <w:t>92</w:t>
      </w:r>
      <w:r w:rsidRPr="00514567">
        <w:rPr>
          <w:i/>
        </w:rPr>
        <w:t>/20</w:t>
      </w:r>
      <w:r w:rsidR="008A0AC6" w:rsidRPr="00514567">
        <w:rPr>
          <w:i/>
        </w:rPr>
        <w:t>1</w:t>
      </w:r>
      <w:r w:rsidRPr="00514567">
        <w:rPr>
          <w:i/>
        </w:rPr>
        <w:t xml:space="preserve">5/QH11 ngày </w:t>
      </w:r>
      <w:r w:rsidR="008A0AC6" w:rsidRPr="00514567">
        <w:rPr>
          <w:i/>
        </w:rPr>
        <w:t>25</w:t>
      </w:r>
      <w:r w:rsidRPr="00514567">
        <w:rPr>
          <w:i/>
        </w:rPr>
        <w:t xml:space="preserve"> tháng </w:t>
      </w:r>
      <w:r w:rsidR="008A0AC6" w:rsidRPr="00514567">
        <w:rPr>
          <w:i/>
        </w:rPr>
        <w:t>11</w:t>
      </w:r>
      <w:r w:rsidRPr="00514567">
        <w:rPr>
          <w:i/>
        </w:rPr>
        <w:t xml:space="preserve"> năm 20</w:t>
      </w:r>
      <w:r w:rsidR="008A0AC6" w:rsidRPr="00514567">
        <w:rPr>
          <w:i/>
        </w:rPr>
        <w:t>1</w:t>
      </w:r>
      <w:r w:rsidRPr="00514567">
        <w:rPr>
          <w:i/>
        </w:rPr>
        <w:t>5;</w:t>
      </w:r>
    </w:p>
    <w:p w:rsidR="005C2959" w:rsidRPr="00D93910" w:rsidRDefault="005C2959" w:rsidP="002A1D75">
      <w:pPr>
        <w:spacing w:before="120" w:after="120"/>
        <w:ind w:firstLine="720"/>
        <w:jc w:val="both"/>
        <w:rPr>
          <w:i/>
        </w:rPr>
      </w:pPr>
      <w:r w:rsidRPr="00D93910">
        <w:rPr>
          <w:i/>
        </w:rPr>
        <w:t>Căn cứ Luậ</w:t>
      </w:r>
      <w:r w:rsidR="00BE3AA4" w:rsidRPr="00D93910">
        <w:rPr>
          <w:i/>
        </w:rPr>
        <w:t>t N</w:t>
      </w:r>
      <w:r w:rsidRPr="00D93910">
        <w:rPr>
          <w:i/>
        </w:rPr>
        <w:t xml:space="preserve">hà ở số 65/2014/QH13 </w:t>
      </w:r>
      <w:r w:rsidR="00C10481" w:rsidRPr="00D93910">
        <w:rPr>
          <w:i/>
        </w:rPr>
        <w:t>ngày 25 tháng 11 năm 2014</w:t>
      </w:r>
      <w:r w:rsidRPr="00D93910">
        <w:rPr>
          <w:i/>
        </w:rPr>
        <w:t>;</w:t>
      </w:r>
    </w:p>
    <w:p w:rsidR="005C2959" w:rsidRPr="00D93910" w:rsidRDefault="005C2959" w:rsidP="002A1D75">
      <w:pPr>
        <w:spacing w:before="120" w:after="120"/>
        <w:ind w:right="42" w:firstLine="720"/>
        <w:jc w:val="both"/>
        <w:rPr>
          <w:i/>
        </w:rPr>
      </w:pPr>
      <w:r w:rsidRPr="00D93910">
        <w:rPr>
          <w:i/>
        </w:rPr>
        <w:t>Căn cứ Nghị định số 99/2015/NĐ-CP ngày 20 tháng 10 năm 2015 của Chính phủ quy định chi tiết và hướng dẫn một số điều của Luậ</w:t>
      </w:r>
      <w:r w:rsidR="00BE3AA4" w:rsidRPr="00D93910">
        <w:rPr>
          <w:i/>
        </w:rPr>
        <w:t>t N</w:t>
      </w:r>
      <w:r w:rsidRPr="00D93910">
        <w:rPr>
          <w:i/>
        </w:rPr>
        <w:t>hà ở;</w:t>
      </w:r>
    </w:p>
    <w:p w:rsidR="00F07ADC" w:rsidRPr="00D93910" w:rsidRDefault="00F07ADC" w:rsidP="00B3719E">
      <w:pPr>
        <w:spacing w:before="120" w:after="120"/>
        <w:ind w:right="42" w:firstLine="720"/>
        <w:jc w:val="both"/>
        <w:rPr>
          <w:i/>
        </w:rPr>
      </w:pPr>
      <w:r w:rsidRPr="00D93910">
        <w:rPr>
          <w:i/>
        </w:rPr>
        <w:t xml:space="preserve">Căn cứ Thông tư số 19/2016/TT-BXD ngày 30 tháng 6 năm 2016 của </w:t>
      </w:r>
      <w:r w:rsidR="00E019F2">
        <w:rPr>
          <w:i/>
        </w:rPr>
        <w:t xml:space="preserve">Bộ trưởng </w:t>
      </w:r>
      <w:r w:rsidRPr="00D93910">
        <w:rPr>
          <w:i/>
        </w:rPr>
        <w:t>Bộ Xây dựng Hướng dẫn thực hiện một số nội dung của Luật Nhà ở và Nghị định số 99/2015/NĐ-CP ngày 20 tháng 10 năm 2015 của Chính phủ quy định chi tiết và hướng dẫn một số điều của Luậ</w:t>
      </w:r>
      <w:r w:rsidR="002C0E4F" w:rsidRPr="00D93910">
        <w:rPr>
          <w:i/>
        </w:rPr>
        <w:t>t N</w:t>
      </w:r>
      <w:r w:rsidRPr="00D93910">
        <w:rPr>
          <w:i/>
        </w:rPr>
        <w:t>hà ở;</w:t>
      </w:r>
    </w:p>
    <w:p w:rsidR="00F07ADC" w:rsidRPr="00D93910" w:rsidRDefault="00F07ADC" w:rsidP="00B3719E">
      <w:pPr>
        <w:spacing w:before="120" w:after="120"/>
        <w:ind w:right="42" w:firstLine="720"/>
        <w:jc w:val="both"/>
        <w:rPr>
          <w:i/>
        </w:rPr>
      </w:pPr>
      <w:r w:rsidRPr="00D93910">
        <w:rPr>
          <w:i/>
        </w:rPr>
        <w:t xml:space="preserve">Căn cứ Thông tư số 10/2015/TT-BXD ngày 30 tháng 12 năm 2015 của </w:t>
      </w:r>
      <w:r w:rsidR="00607F21">
        <w:rPr>
          <w:i/>
        </w:rPr>
        <w:t xml:space="preserve">Bộ trưởng </w:t>
      </w:r>
      <w:r w:rsidRPr="00D93910">
        <w:rPr>
          <w:i/>
        </w:rPr>
        <w:t>Bộ Xây dựng Quy định về việc đào tạo, bồi dưỡng kiến thức chuyên môn, nghiệp vụ quản lý vận hành nhà chung cư;</w:t>
      </w:r>
    </w:p>
    <w:p w:rsidR="005C2959" w:rsidRPr="00D93910" w:rsidRDefault="005C2959" w:rsidP="00B3719E">
      <w:pPr>
        <w:spacing w:before="120" w:after="120"/>
        <w:ind w:right="42"/>
        <w:jc w:val="both"/>
        <w:rPr>
          <w:i/>
        </w:rPr>
      </w:pPr>
      <w:r w:rsidRPr="00D93910">
        <w:rPr>
          <w:i/>
        </w:rPr>
        <w:tab/>
        <w:t xml:space="preserve">Căn cứ Thông tư số 02/2016/TT-BXD ngày 15 tháng 02 năm 2016 của </w:t>
      </w:r>
      <w:r w:rsidR="00607F21">
        <w:rPr>
          <w:i/>
        </w:rPr>
        <w:t xml:space="preserve">Bộ trưởng </w:t>
      </w:r>
      <w:r w:rsidRPr="00D93910">
        <w:rPr>
          <w:i/>
        </w:rPr>
        <w:t>Bộ Xây dựng ban hành quy chế, quản lý sử dụng nhà chung cư;</w:t>
      </w:r>
    </w:p>
    <w:p w:rsidR="00707549" w:rsidRPr="00D93910" w:rsidRDefault="00707549" w:rsidP="00B3719E">
      <w:pPr>
        <w:spacing w:before="120" w:after="120"/>
        <w:ind w:right="42" w:firstLine="720"/>
        <w:jc w:val="both"/>
        <w:rPr>
          <w:i/>
        </w:rPr>
      </w:pPr>
      <w:r w:rsidRPr="00D93910">
        <w:rPr>
          <w:i/>
        </w:rPr>
        <w:t xml:space="preserve">Căn cứ Thông tư số </w:t>
      </w:r>
      <w:r w:rsidR="00A824EF" w:rsidRPr="00D93910">
        <w:rPr>
          <w:i/>
        </w:rPr>
        <w:t>28</w:t>
      </w:r>
      <w:r w:rsidRPr="00D93910">
        <w:rPr>
          <w:i/>
        </w:rPr>
        <w:t xml:space="preserve">/2016/TT-BXD ngày 15 tháng </w:t>
      </w:r>
      <w:r w:rsidR="00A824EF" w:rsidRPr="00D93910">
        <w:rPr>
          <w:i/>
        </w:rPr>
        <w:t>1</w:t>
      </w:r>
      <w:r w:rsidRPr="00D93910">
        <w:rPr>
          <w:i/>
        </w:rPr>
        <w:t xml:space="preserve">2 năm 2016 của </w:t>
      </w:r>
      <w:r w:rsidR="00607F21">
        <w:rPr>
          <w:i/>
        </w:rPr>
        <w:t xml:space="preserve">Bộ trưởng </w:t>
      </w:r>
      <w:r w:rsidRPr="00D93910">
        <w:rPr>
          <w:i/>
        </w:rPr>
        <w:t xml:space="preserve">Bộ Xây dựng </w:t>
      </w:r>
      <w:r w:rsidR="00A824EF" w:rsidRPr="00D93910">
        <w:rPr>
          <w:i/>
        </w:rPr>
        <w:t xml:space="preserve">sửa đổi, bổ sung một số quy định của Thông tư số 10/2015/TT-BXD ngày 30 tháng 12 năm 2015 của </w:t>
      </w:r>
      <w:r w:rsidR="00607F21">
        <w:rPr>
          <w:i/>
        </w:rPr>
        <w:t xml:space="preserve">Bộ trưởng </w:t>
      </w:r>
      <w:r w:rsidR="00A824EF" w:rsidRPr="00D93910">
        <w:rPr>
          <w:i/>
        </w:rPr>
        <w:t>Bộ Xây dựng quy định việc đào tạo, bồi dưỡng kiến thứ</w:t>
      </w:r>
      <w:r w:rsidR="00B266F5" w:rsidRPr="00D93910">
        <w:rPr>
          <w:i/>
        </w:rPr>
        <w:t>c chuyên môn, nghiệp vụ quản lý vận hành nhà chung cư, Thông tư số 11/2015/TT-BXD ngày 30 tháng 12 năm 2015 của</w:t>
      </w:r>
      <w:r w:rsidR="00607F21">
        <w:rPr>
          <w:i/>
        </w:rPr>
        <w:t xml:space="preserve"> Bộ trưởng</w:t>
      </w:r>
      <w:r w:rsidR="00B266F5" w:rsidRPr="00D93910">
        <w:rPr>
          <w:i/>
        </w:rPr>
        <w:t xml:space="preserve">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 tháng 02 năm 2016 của </w:t>
      </w:r>
      <w:r w:rsidR="00607F21">
        <w:rPr>
          <w:i/>
        </w:rPr>
        <w:t xml:space="preserve">Bộ trưởng </w:t>
      </w:r>
      <w:r w:rsidR="00B266F5" w:rsidRPr="00D93910">
        <w:rPr>
          <w:i/>
        </w:rPr>
        <w:t>Bộ Xây dựng;</w:t>
      </w:r>
    </w:p>
    <w:p w:rsidR="005C2959" w:rsidRDefault="005C2959" w:rsidP="00B3719E">
      <w:pPr>
        <w:spacing w:before="120" w:after="120"/>
        <w:ind w:right="42"/>
        <w:jc w:val="both"/>
        <w:rPr>
          <w:i/>
        </w:rPr>
      </w:pPr>
      <w:r w:rsidRPr="00D93910">
        <w:rPr>
          <w:i/>
        </w:rPr>
        <w:tab/>
        <w:t>Xét đề nghị của Sở Xây dựng thành phố</w:t>
      </w:r>
      <w:r w:rsidR="00F07ADC" w:rsidRPr="00D93910">
        <w:rPr>
          <w:i/>
        </w:rPr>
        <w:t xml:space="preserve"> Đà Nẵng</w:t>
      </w:r>
      <w:r w:rsidRPr="00D93910">
        <w:rPr>
          <w:i/>
        </w:rPr>
        <w:t xml:space="preserve"> tại Tờ</w:t>
      </w:r>
      <w:r w:rsidR="00323AB5" w:rsidRPr="00D93910">
        <w:rPr>
          <w:i/>
        </w:rPr>
        <w:t xml:space="preserve"> trình số</w:t>
      </w:r>
      <w:r w:rsidR="00D10A7C">
        <w:rPr>
          <w:i/>
        </w:rPr>
        <w:t xml:space="preserve"> 9921</w:t>
      </w:r>
      <w:r w:rsidR="007A494C">
        <w:rPr>
          <w:i/>
        </w:rPr>
        <w:t xml:space="preserve">           </w:t>
      </w:r>
      <w:r w:rsidR="00323AB5" w:rsidRPr="00D93910">
        <w:rPr>
          <w:i/>
        </w:rPr>
        <w:t xml:space="preserve">                                              </w:t>
      </w:r>
      <w:r w:rsidR="00A47143" w:rsidRPr="00D93910">
        <w:rPr>
          <w:i/>
        </w:rPr>
        <w:t xml:space="preserve"> </w:t>
      </w:r>
      <w:r w:rsidR="00323AB5" w:rsidRPr="00D93910">
        <w:rPr>
          <w:i/>
        </w:rPr>
        <w:t xml:space="preserve">                   </w:t>
      </w:r>
      <w:r w:rsidR="003C7BEE" w:rsidRPr="00D93910">
        <w:rPr>
          <w:i/>
        </w:rPr>
        <w:t xml:space="preserve">                   </w:t>
      </w:r>
      <w:r w:rsidR="00D10A7C">
        <w:rPr>
          <w:i/>
        </w:rPr>
        <w:t xml:space="preserve">  </w:t>
      </w:r>
      <w:r w:rsidR="00F07ADC" w:rsidRPr="00D93910">
        <w:rPr>
          <w:i/>
        </w:rPr>
        <w:t xml:space="preserve">/TTr-SXD ngày </w:t>
      </w:r>
      <w:r w:rsidR="00D10A7C">
        <w:rPr>
          <w:i/>
        </w:rPr>
        <w:t xml:space="preserve">25 </w:t>
      </w:r>
      <w:r w:rsidR="00733826" w:rsidRPr="00D93910">
        <w:rPr>
          <w:i/>
        </w:rPr>
        <w:t xml:space="preserve">tháng </w:t>
      </w:r>
      <w:r w:rsidR="00D10A7C">
        <w:rPr>
          <w:i/>
        </w:rPr>
        <w:t xml:space="preserve">10 </w:t>
      </w:r>
      <w:r w:rsidRPr="00D93910">
        <w:rPr>
          <w:i/>
        </w:rPr>
        <w:t>năm 201</w:t>
      </w:r>
      <w:r w:rsidR="003C7BEE" w:rsidRPr="00D93910">
        <w:rPr>
          <w:i/>
        </w:rPr>
        <w:t>8</w:t>
      </w:r>
      <w:r w:rsidR="00D93910">
        <w:rPr>
          <w:i/>
        </w:rPr>
        <w:t>.</w:t>
      </w:r>
    </w:p>
    <w:p w:rsidR="00D93910" w:rsidRPr="00D93910" w:rsidRDefault="00D93910" w:rsidP="00DF3906">
      <w:pPr>
        <w:spacing w:before="160"/>
        <w:ind w:right="42"/>
        <w:jc w:val="both"/>
        <w:rPr>
          <w:i/>
        </w:rPr>
      </w:pPr>
    </w:p>
    <w:p w:rsidR="005C2959" w:rsidRPr="00F179D0" w:rsidRDefault="005C2959" w:rsidP="00AD6910">
      <w:pPr>
        <w:ind w:right="-117"/>
        <w:jc w:val="center"/>
        <w:outlineLvl w:val="0"/>
        <w:rPr>
          <w:b/>
        </w:rPr>
      </w:pPr>
      <w:r w:rsidRPr="00F179D0">
        <w:rPr>
          <w:b/>
        </w:rPr>
        <w:t>QUYẾT ĐỊNH:</w:t>
      </w:r>
    </w:p>
    <w:p w:rsidR="005C2959" w:rsidRPr="00F63F8D" w:rsidRDefault="005C2959" w:rsidP="005C2959">
      <w:pPr>
        <w:ind w:right="-117" w:firstLine="720"/>
        <w:jc w:val="both"/>
        <w:rPr>
          <w:b/>
          <w:sz w:val="38"/>
        </w:rPr>
      </w:pPr>
    </w:p>
    <w:p w:rsidR="005C2959" w:rsidRDefault="005C2959" w:rsidP="00C55F4C">
      <w:pPr>
        <w:spacing w:before="120" w:after="120"/>
        <w:ind w:right="42" w:firstLine="720"/>
        <w:jc w:val="both"/>
        <w:rPr>
          <w:bCs/>
        </w:rPr>
      </w:pPr>
      <w:r w:rsidRPr="00F179D0">
        <w:rPr>
          <w:b/>
        </w:rPr>
        <w:t xml:space="preserve">Điều 1. </w:t>
      </w:r>
      <w:r w:rsidRPr="00FB3532">
        <w:t xml:space="preserve">Ban hành kèm theo </w:t>
      </w:r>
      <w:r>
        <w:rPr>
          <w:bCs/>
        </w:rPr>
        <w:t xml:space="preserve">Quyết định này Quy chế quản lý, sử dụng </w:t>
      </w:r>
      <w:r w:rsidR="00D92D5D">
        <w:rPr>
          <w:bCs/>
        </w:rPr>
        <w:t xml:space="preserve">nhà </w:t>
      </w:r>
      <w:r>
        <w:rPr>
          <w:bCs/>
        </w:rPr>
        <w:t>chung cư</w:t>
      </w:r>
      <w:r w:rsidR="00C10481">
        <w:rPr>
          <w:bCs/>
        </w:rPr>
        <w:t xml:space="preserve"> thuộc sở hữu</w:t>
      </w:r>
      <w:r>
        <w:rPr>
          <w:bCs/>
        </w:rPr>
        <w:t xml:space="preserve"> Nhà nướ</w:t>
      </w:r>
      <w:r w:rsidR="00C10481">
        <w:rPr>
          <w:bCs/>
        </w:rPr>
        <w:t>c t</w:t>
      </w:r>
      <w:r>
        <w:rPr>
          <w:bCs/>
        </w:rPr>
        <w:t>rên địa bàn thành phố Đà Nẵng.</w:t>
      </w:r>
    </w:p>
    <w:p w:rsidR="00FE68DF" w:rsidRDefault="005C2959" w:rsidP="00C55F4C">
      <w:pPr>
        <w:spacing w:before="120" w:after="120"/>
        <w:ind w:right="40" w:firstLine="720"/>
        <w:jc w:val="both"/>
      </w:pPr>
      <w:r w:rsidRPr="00F179D0">
        <w:rPr>
          <w:b/>
        </w:rPr>
        <w:t xml:space="preserve">Điều </w:t>
      </w:r>
      <w:r>
        <w:rPr>
          <w:b/>
        </w:rPr>
        <w:t>2</w:t>
      </w:r>
      <w:r w:rsidRPr="00F179D0">
        <w:rPr>
          <w:b/>
        </w:rPr>
        <w:t>.</w:t>
      </w:r>
      <w:r w:rsidRPr="00F179D0">
        <w:t xml:space="preserve"> </w:t>
      </w:r>
      <w:r w:rsidR="00783CBA">
        <w:rPr>
          <w:bCs/>
          <w:spacing w:val="4"/>
        </w:rPr>
        <w:t>Giao Sở Xây dựng chịu trách nhiệm hướng dẫn và kiểm tra việc thực hiện Quyết định này.</w:t>
      </w:r>
    </w:p>
    <w:p w:rsidR="00081578" w:rsidRDefault="00FE68DF" w:rsidP="00C55F4C">
      <w:pPr>
        <w:spacing w:before="120" w:after="120"/>
        <w:ind w:right="40" w:firstLine="720"/>
        <w:jc w:val="both"/>
      </w:pPr>
      <w:r w:rsidRPr="00FE68DF">
        <w:rPr>
          <w:b/>
        </w:rPr>
        <w:t>Điều 3.</w:t>
      </w:r>
      <w:r>
        <w:t xml:space="preserve"> </w:t>
      </w:r>
      <w:r w:rsidR="005C2959" w:rsidRPr="00F179D0">
        <w:t>Quyết định này có hiệu lực kể từ</w:t>
      </w:r>
      <w:r w:rsidR="008639CD">
        <w:t xml:space="preserve"> ngày </w:t>
      </w:r>
      <w:r w:rsidR="007959B2">
        <w:t xml:space="preserve"> </w:t>
      </w:r>
      <w:r w:rsidR="008D06B3">
        <w:t xml:space="preserve">25 </w:t>
      </w:r>
      <w:r w:rsidR="007959B2">
        <w:t xml:space="preserve">tháng  </w:t>
      </w:r>
      <w:r w:rsidR="008D06B3">
        <w:t xml:space="preserve">02 </w:t>
      </w:r>
      <w:r w:rsidR="007959B2">
        <w:t xml:space="preserve"> năm 201</w:t>
      </w:r>
      <w:r w:rsidR="00C41B39">
        <w:t>9</w:t>
      </w:r>
      <w:r w:rsidR="008639CD">
        <w:t>.</w:t>
      </w:r>
    </w:p>
    <w:p w:rsidR="005C2959" w:rsidRDefault="005C2959" w:rsidP="004D47BD">
      <w:pPr>
        <w:spacing w:before="120" w:after="240"/>
        <w:ind w:right="40" w:firstLine="720"/>
        <w:jc w:val="both"/>
      </w:pPr>
      <w:r w:rsidRPr="00F179D0">
        <w:rPr>
          <w:b/>
        </w:rPr>
        <w:t xml:space="preserve">Điều </w:t>
      </w:r>
      <w:r w:rsidR="00FE68DF">
        <w:rPr>
          <w:b/>
        </w:rPr>
        <w:t>4</w:t>
      </w:r>
      <w:r w:rsidRPr="00F179D0">
        <w:rPr>
          <w:b/>
        </w:rPr>
        <w:t>.</w:t>
      </w:r>
      <w:r w:rsidRPr="00F179D0">
        <w:t xml:space="preserve"> Chánh Văn phòng UBND thành phố</w:t>
      </w:r>
      <w:r w:rsidR="00A07422">
        <w:t xml:space="preserve">; </w:t>
      </w:r>
      <w:r w:rsidRPr="00F179D0">
        <w:t>Giám đốc</w:t>
      </w:r>
      <w:r w:rsidR="00F07ADC">
        <w:t xml:space="preserve"> các</w:t>
      </w:r>
      <w:r w:rsidR="00701AC2">
        <w:t xml:space="preserve"> Sở</w:t>
      </w:r>
      <w:r w:rsidR="007A7BDA">
        <w:t>:</w:t>
      </w:r>
      <w:r w:rsidRPr="00F179D0">
        <w:t xml:space="preserve"> Xây dựng,</w:t>
      </w:r>
      <w:r w:rsidR="000C21E9">
        <w:t xml:space="preserve"> Tài nguyên và Môi trườ</w:t>
      </w:r>
      <w:r w:rsidR="007A7BDA">
        <w:t>ng;</w:t>
      </w:r>
      <w:r w:rsidR="00F07ADC">
        <w:t xml:space="preserve"> Giám đốc</w:t>
      </w:r>
      <w:r w:rsidR="00701AC2">
        <w:t>:</w:t>
      </w:r>
      <w:r w:rsidR="001D1B31">
        <w:t xml:space="preserve"> </w:t>
      </w:r>
      <w:r w:rsidR="00F07ADC">
        <w:t>Công an thành phố Đà Nẵ</w:t>
      </w:r>
      <w:r w:rsidR="00A3177D">
        <w:t xml:space="preserve">ng, </w:t>
      </w:r>
      <w:r w:rsidR="00D45D18">
        <w:t>Trung tâm Quản lý và Khai thác nhà Đà Nẵng</w:t>
      </w:r>
      <w:r w:rsidR="007A7BDA">
        <w:t xml:space="preserve">, </w:t>
      </w:r>
      <w:r w:rsidR="000C21E9" w:rsidRPr="000C21E9">
        <w:t>Công ty TNHH MTV Điện lực Đà Nẵng,</w:t>
      </w:r>
      <w:r w:rsidR="007A7BDA">
        <w:t xml:space="preserve"> </w:t>
      </w:r>
      <w:r w:rsidR="000C21E9">
        <w:t xml:space="preserve">Công ty </w:t>
      </w:r>
      <w:r w:rsidR="00F27107">
        <w:t xml:space="preserve">Cổ phần </w:t>
      </w:r>
      <w:r w:rsidR="000C21E9">
        <w:t>Cấp nước Đà Nẵ</w:t>
      </w:r>
      <w:r w:rsidR="00701AC2">
        <w:t>ng; T</w:t>
      </w:r>
      <w:r w:rsidR="00F07ADC">
        <w:t xml:space="preserve">hủ trưởng các sở ngành liên quan; </w:t>
      </w:r>
      <w:r>
        <w:t>Chủ tịch UBND các quận huyện, phường, xã và các tổ chức, cá nhân có liên quan chịu trách nhiệm thi hành quyết định này./.</w:t>
      </w:r>
    </w:p>
    <w:tbl>
      <w:tblPr>
        <w:tblW w:w="0" w:type="auto"/>
        <w:tblLook w:val="04A0" w:firstRow="1" w:lastRow="0" w:firstColumn="1" w:lastColumn="0" w:noHBand="0" w:noVBand="1"/>
      </w:tblPr>
      <w:tblGrid>
        <w:gridCol w:w="4644"/>
        <w:gridCol w:w="4644"/>
      </w:tblGrid>
      <w:tr w:rsidR="000307D8" w:rsidTr="007E305A">
        <w:tc>
          <w:tcPr>
            <w:tcW w:w="4644" w:type="dxa"/>
            <w:shd w:val="clear" w:color="auto" w:fill="auto"/>
          </w:tcPr>
          <w:p w:rsidR="000307D8" w:rsidRPr="007E305A" w:rsidRDefault="000307D8" w:rsidP="007E305A">
            <w:pPr>
              <w:ind w:right="-117"/>
              <w:outlineLvl w:val="0"/>
              <w:rPr>
                <w:b/>
              </w:rPr>
            </w:pPr>
            <w:r w:rsidRPr="007E305A">
              <w:rPr>
                <w:b/>
              </w:rPr>
              <w:tab/>
            </w:r>
            <w:r w:rsidRPr="007E305A">
              <w:rPr>
                <w:b/>
              </w:rPr>
              <w:tab/>
            </w:r>
            <w:r w:rsidRPr="007E305A">
              <w:rPr>
                <w:b/>
              </w:rPr>
              <w:tab/>
              <w:t xml:space="preserve">         </w:t>
            </w:r>
          </w:p>
          <w:p w:rsidR="000307D8" w:rsidRPr="007E305A" w:rsidRDefault="000307D8" w:rsidP="007E305A">
            <w:pPr>
              <w:ind w:right="-117"/>
              <w:jc w:val="both"/>
              <w:rPr>
                <w:sz w:val="22"/>
              </w:rPr>
            </w:pPr>
            <w:r w:rsidRPr="007E305A">
              <w:rPr>
                <w:sz w:val="22"/>
              </w:rPr>
              <w:t xml:space="preserve"> </w:t>
            </w:r>
          </w:p>
        </w:tc>
        <w:tc>
          <w:tcPr>
            <w:tcW w:w="4644" w:type="dxa"/>
            <w:shd w:val="clear" w:color="auto" w:fill="auto"/>
          </w:tcPr>
          <w:p w:rsidR="000307D8" w:rsidRPr="007E305A" w:rsidRDefault="000307D8" w:rsidP="007E305A">
            <w:pPr>
              <w:ind w:right="-117"/>
              <w:jc w:val="center"/>
              <w:rPr>
                <w:b/>
              </w:rPr>
            </w:pPr>
            <w:r w:rsidRPr="007E305A">
              <w:rPr>
                <w:b/>
              </w:rPr>
              <w:t>TM. ỦY BAN NHÂN DÂN</w:t>
            </w:r>
          </w:p>
          <w:p w:rsidR="000307D8" w:rsidRPr="00B01981" w:rsidRDefault="000307D8" w:rsidP="007E305A">
            <w:pPr>
              <w:ind w:right="-117"/>
              <w:jc w:val="center"/>
            </w:pPr>
            <w:r w:rsidRPr="007E305A">
              <w:rPr>
                <w:b/>
              </w:rPr>
              <w:t>CHỦ TỊCH</w:t>
            </w:r>
          </w:p>
          <w:p w:rsidR="000307D8" w:rsidRPr="007E305A" w:rsidRDefault="008D06B3" w:rsidP="007E305A">
            <w:pPr>
              <w:ind w:right="-117"/>
              <w:jc w:val="center"/>
              <w:rPr>
                <w:b/>
              </w:rPr>
            </w:pPr>
            <w:r>
              <w:rPr>
                <w:b/>
              </w:rPr>
              <w:t>Huỳnh Đức Thơ</w:t>
            </w:r>
            <w:bookmarkStart w:id="0" w:name="_GoBack"/>
            <w:bookmarkEnd w:id="0"/>
          </w:p>
          <w:p w:rsidR="000307D8" w:rsidRDefault="000307D8" w:rsidP="007E305A">
            <w:pPr>
              <w:ind w:right="-117"/>
              <w:jc w:val="center"/>
            </w:pPr>
          </w:p>
        </w:tc>
      </w:tr>
    </w:tbl>
    <w:p w:rsidR="005C2959" w:rsidRDefault="005C2959" w:rsidP="005C2959">
      <w:pPr>
        <w:ind w:right="-117"/>
        <w:jc w:val="both"/>
      </w:pPr>
    </w:p>
    <w:p w:rsidR="005C2959" w:rsidRPr="00B01981" w:rsidRDefault="005C2959" w:rsidP="000307D8">
      <w:pPr>
        <w:ind w:right="-117"/>
        <w:rPr>
          <w:b/>
        </w:rPr>
      </w:pPr>
      <w:r>
        <w:rPr>
          <w:sz w:val="22"/>
        </w:rPr>
        <w:tab/>
      </w:r>
      <w:r>
        <w:rPr>
          <w:sz w:val="22"/>
        </w:rPr>
        <w:tab/>
      </w:r>
      <w:r>
        <w:rPr>
          <w:sz w:val="22"/>
        </w:rPr>
        <w:tab/>
      </w:r>
      <w:r>
        <w:rPr>
          <w:sz w:val="22"/>
        </w:rPr>
        <w:tab/>
      </w:r>
      <w:r w:rsidR="00B01981">
        <w:rPr>
          <w:sz w:val="22"/>
        </w:rPr>
        <w:tab/>
      </w:r>
      <w:r w:rsidR="00B01981">
        <w:rPr>
          <w:sz w:val="22"/>
        </w:rPr>
        <w:tab/>
      </w:r>
      <w:r w:rsidR="00B01981">
        <w:rPr>
          <w:sz w:val="22"/>
        </w:rPr>
        <w:tab/>
      </w:r>
      <w:r w:rsidR="00B01981">
        <w:rPr>
          <w:sz w:val="22"/>
        </w:rPr>
        <w:tab/>
      </w:r>
      <w:r w:rsidR="00B01981">
        <w:rPr>
          <w:sz w:val="22"/>
        </w:rPr>
        <w:tab/>
      </w:r>
      <w:r w:rsidR="00B01981">
        <w:rPr>
          <w:sz w:val="22"/>
        </w:rPr>
        <w:tab/>
      </w:r>
      <w:r w:rsidR="00DF3906">
        <w:rPr>
          <w:sz w:val="22"/>
        </w:rPr>
        <w:t xml:space="preserve">         </w:t>
      </w:r>
    </w:p>
    <w:p w:rsidR="00B01981" w:rsidRDefault="00081578" w:rsidP="00081578">
      <w:pPr>
        <w:ind w:right="-119"/>
        <w:rPr>
          <w:sz w:val="22"/>
        </w:rPr>
      </w:pPr>
      <w:r>
        <w:rPr>
          <w:sz w:val="22"/>
        </w:rPr>
        <w:tab/>
      </w:r>
      <w:r>
        <w:rPr>
          <w:sz w:val="22"/>
        </w:rPr>
        <w:tab/>
      </w:r>
      <w:r>
        <w:rPr>
          <w:sz w:val="22"/>
        </w:rPr>
        <w:tab/>
      </w:r>
      <w:r w:rsidR="00B01981">
        <w:rPr>
          <w:sz w:val="22"/>
        </w:rPr>
        <w:t xml:space="preserve">              </w:t>
      </w:r>
    </w:p>
    <w:p w:rsidR="00995821" w:rsidRDefault="00995821" w:rsidP="00081578">
      <w:pPr>
        <w:ind w:right="-119"/>
        <w:rPr>
          <w:sz w:val="22"/>
        </w:rPr>
      </w:pPr>
    </w:p>
    <w:p w:rsidR="005C2959" w:rsidRDefault="00B01981" w:rsidP="00081578">
      <w:pPr>
        <w:ind w:right="-119"/>
        <w:rPr>
          <w:sz w:val="22"/>
        </w:rPr>
      </w:pPr>
      <w:r>
        <w:rPr>
          <w:sz w:val="22"/>
        </w:rPr>
        <w:t xml:space="preserve">                                                                                                               </w:t>
      </w:r>
      <w:r w:rsidR="00081578">
        <w:rPr>
          <w:sz w:val="22"/>
        </w:rPr>
        <w:tab/>
      </w:r>
      <w:r w:rsidR="005C2959">
        <w:rPr>
          <w:sz w:val="22"/>
        </w:rPr>
        <w:t xml:space="preserve"> </w:t>
      </w:r>
    </w:p>
    <w:p w:rsidR="005C2959" w:rsidRDefault="00F35A7E" w:rsidP="00F35A7E">
      <w:pPr>
        <w:ind w:left="5760" w:right="-117"/>
      </w:pPr>
      <w:r>
        <w:rPr>
          <w:b/>
        </w:rPr>
        <w:t xml:space="preserve">   </w:t>
      </w:r>
    </w:p>
    <w:p w:rsidR="005C2959" w:rsidRDefault="005C2959" w:rsidP="005C2959">
      <w:pPr>
        <w:ind w:right="-117"/>
      </w:pPr>
    </w:p>
    <w:p w:rsidR="005C2959" w:rsidRDefault="005C2959" w:rsidP="005C2959">
      <w:pPr>
        <w:ind w:right="-117"/>
      </w:pPr>
    </w:p>
    <w:p w:rsidR="005C2959" w:rsidRDefault="005C2959" w:rsidP="005C2959">
      <w:pPr>
        <w:ind w:right="-117"/>
      </w:pPr>
    </w:p>
    <w:p w:rsidR="005C2959" w:rsidRDefault="005C2959" w:rsidP="005C2959">
      <w:pPr>
        <w:ind w:right="-117"/>
      </w:pPr>
    </w:p>
    <w:p w:rsidR="005C2959" w:rsidRDefault="005C2959" w:rsidP="005C2959">
      <w:pPr>
        <w:ind w:right="-117"/>
      </w:pPr>
    </w:p>
    <w:p w:rsidR="005C2959" w:rsidRDefault="005C2959" w:rsidP="005C2959">
      <w:pPr>
        <w:ind w:right="-117"/>
      </w:pPr>
    </w:p>
    <w:p w:rsidR="005C2959" w:rsidRDefault="005C2959" w:rsidP="005C2959">
      <w:pPr>
        <w:ind w:right="-117"/>
      </w:pPr>
    </w:p>
    <w:p w:rsidR="005C2959" w:rsidRDefault="005C2959" w:rsidP="005C2959">
      <w:pPr>
        <w:ind w:right="-117"/>
      </w:pPr>
    </w:p>
    <w:sectPr w:rsidR="005C2959" w:rsidSect="008D06B3">
      <w:footerReference w:type="default" r:id="rId6"/>
      <w:headerReference w:type="firs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DE" w:rsidRDefault="000C01DE" w:rsidP="00923507">
      <w:r>
        <w:separator/>
      </w:r>
    </w:p>
  </w:endnote>
  <w:endnote w:type="continuationSeparator" w:id="0">
    <w:p w:rsidR="000C01DE" w:rsidRDefault="000C01DE" w:rsidP="009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07" w:rsidRDefault="00923507">
    <w:pPr>
      <w:pStyle w:val="Footer"/>
      <w:jc w:val="right"/>
    </w:pPr>
  </w:p>
  <w:p w:rsidR="00923507" w:rsidRDefault="00923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DE" w:rsidRDefault="000C01DE" w:rsidP="00923507">
      <w:r>
        <w:separator/>
      </w:r>
    </w:p>
  </w:footnote>
  <w:footnote w:type="continuationSeparator" w:id="0">
    <w:p w:rsidR="000C01DE" w:rsidRDefault="000C01DE" w:rsidP="0092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4D" w:rsidRDefault="00B31F4D">
    <w:pPr>
      <w:pStyle w:val="Header"/>
      <w:jc w:val="center"/>
    </w:pPr>
  </w:p>
  <w:p w:rsidR="00B31F4D" w:rsidRDefault="00B31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59"/>
    <w:rsid w:val="00017467"/>
    <w:rsid w:val="00026E4D"/>
    <w:rsid w:val="000307D8"/>
    <w:rsid w:val="00081578"/>
    <w:rsid w:val="000B7499"/>
    <w:rsid w:val="000C01DE"/>
    <w:rsid w:val="000C21E9"/>
    <w:rsid w:val="000F424F"/>
    <w:rsid w:val="00190DD3"/>
    <w:rsid w:val="001974C0"/>
    <w:rsid w:val="001D1B31"/>
    <w:rsid w:val="001F4C39"/>
    <w:rsid w:val="002547C5"/>
    <w:rsid w:val="002A1D75"/>
    <w:rsid w:val="002A2417"/>
    <w:rsid w:val="002C0E4F"/>
    <w:rsid w:val="002C52CB"/>
    <w:rsid w:val="00323AB5"/>
    <w:rsid w:val="00377964"/>
    <w:rsid w:val="003C66B3"/>
    <w:rsid w:val="003C7BEE"/>
    <w:rsid w:val="003D4A67"/>
    <w:rsid w:val="003E4971"/>
    <w:rsid w:val="004025C5"/>
    <w:rsid w:val="00443F64"/>
    <w:rsid w:val="004A1668"/>
    <w:rsid w:val="004B5A1D"/>
    <w:rsid w:val="004C0878"/>
    <w:rsid w:val="004D47BD"/>
    <w:rsid w:val="004E32E8"/>
    <w:rsid w:val="00514567"/>
    <w:rsid w:val="005366CF"/>
    <w:rsid w:val="00552009"/>
    <w:rsid w:val="005C2959"/>
    <w:rsid w:val="00607F21"/>
    <w:rsid w:val="00656BAD"/>
    <w:rsid w:val="006A0478"/>
    <w:rsid w:val="006A4F6D"/>
    <w:rsid w:val="006C3C90"/>
    <w:rsid w:val="00701AC2"/>
    <w:rsid w:val="00707549"/>
    <w:rsid w:val="00733826"/>
    <w:rsid w:val="00754DC2"/>
    <w:rsid w:val="007625F3"/>
    <w:rsid w:val="00763EFD"/>
    <w:rsid w:val="00783CBA"/>
    <w:rsid w:val="007959B2"/>
    <w:rsid w:val="007A494C"/>
    <w:rsid w:val="007A7BDA"/>
    <w:rsid w:val="007C4735"/>
    <w:rsid w:val="007E305A"/>
    <w:rsid w:val="00835354"/>
    <w:rsid w:val="0085524E"/>
    <w:rsid w:val="008639CD"/>
    <w:rsid w:val="00887EDD"/>
    <w:rsid w:val="008A0AC6"/>
    <w:rsid w:val="008A0AF3"/>
    <w:rsid w:val="008A19C4"/>
    <w:rsid w:val="008D06B3"/>
    <w:rsid w:val="008D114A"/>
    <w:rsid w:val="008F559F"/>
    <w:rsid w:val="00902B07"/>
    <w:rsid w:val="00923507"/>
    <w:rsid w:val="009757AE"/>
    <w:rsid w:val="0098114B"/>
    <w:rsid w:val="0099529E"/>
    <w:rsid w:val="00995821"/>
    <w:rsid w:val="009E23BD"/>
    <w:rsid w:val="00A07422"/>
    <w:rsid w:val="00A3177D"/>
    <w:rsid w:val="00A35DC9"/>
    <w:rsid w:val="00A47143"/>
    <w:rsid w:val="00A74D68"/>
    <w:rsid w:val="00A824EF"/>
    <w:rsid w:val="00A853A8"/>
    <w:rsid w:val="00AB4739"/>
    <w:rsid w:val="00AB6522"/>
    <w:rsid w:val="00AD6910"/>
    <w:rsid w:val="00B01981"/>
    <w:rsid w:val="00B26562"/>
    <w:rsid w:val="00B266F5"/>
    <w:rsid w:val="00B31F4D"/>
    <w:rsid w:val="00B3719E"/>
    <w:rsid w:val="00BA184C"/>
    <w:rsid w:val="00BB4B44"/>
    <w:rsid w:val="00BC1FDC"/>
    <w:rsid w:val="00BE3AA4"/>
    <w:rsid w:val="00C041B7"/>
    <w:rsid w:val="00C10481"/>
    <w:rsid w:val="00C41B39"/>
    <w:rsid w:val="00C55F4C"/>
    <w:rsid w:val="00D10A7C"/>
    <w:rsid w:val="00D45D18"/>
    <w:rsid w:val="00D92D5D"/>
    <w:rsid w:val="00D93910"/>
    <w:rsid w:val="00DA596A"/>
    <w:rsid w:val="00DF01F6"/>
    <w:rsid w:val="00DF127F"/>
    <w:rsid w:val="00DF3906"/>
    <w:rsid w:val="00E019F2"/>
    <w:rsid w:val="00EC4F66"/>
    <w:rsid w:val="00ED4332"/>
    <w:rsid w:val="00F038F7"/>
    <w:rsid w:val="00F07ADC"/>
    <w:rsid w:val="00F27107"/>
    <w:rsid w:val="00F35A7E"/>
    <w:rsid w:val="00F8389F"/>
    <w:rsid w:val="00FA0EC8"/>
    <w:rsid w:val="00FD7891"/>
    <w:rsid w:val="00FE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3FCF26-C371-49EC-A64D-CAD2E532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59"/>
    <w:rPr>
      <w:rFonts w:eastAsia="Batang"/>
      <w:sz w:val="28"/>
      <w:szCs w:val="28"/>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F27107"/>
    <w:pPr>
      <w:spacing w:after="160" w:line="240" w:lineRule="exact"/>
    </w:pPr>
    <w:rPr>
      <w:rFonts w:ascii="Verdana" w:eastAsia="Times New Roman" w:hAnsi="Verdana"/>
      <w:sz w:val="20"/>
      <w:szCs w:val="20"/>
      <w:lang w:eastAsia="en-US"/>
    </w:rPr>
  </w:style>
  <w:style w:type="table" w:styleId="TableGrid">
    <w:name w:val="Table Grid"/>
    <w:basedOn w:val="TableNormal"/>
    <w:rsid w:val="0003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3507"/>
    <w:pPr>
      <w:tabs>
        <w:tab w:val="center" w:pos="4680"/>
        <w:tab w:val="right" w:pos="9360"/>
      </w:tabs>
    </w:pPr>
    <w:rPr>
      <w:lang w:val="x-none"/>
    </w:rPr>
  </w:style>
  <w:style w:type="character" w:customStyle="1" w:styleId="HeaderChar">
    <w:name w:val="Header Char"/>
    <w:link w:val="Header"/>
    <w:uiPriority w:val="99"/>
    <w:rsid w:val="00923507"/>
    <w:rPr>
      <w:rFonts w:eastAsia="Batang"/>
      <w:sz w:val="28"/>
      <w:szCs w:val="28"/>
      <w:lang w:eastAsia="ko-KR"/>
    </w:rPr>
  </w:style>
  <w:style w:type="paragraph" w:styleId="Footer">
    <w:name w:val="footer"/>
    <w:basedOn w:val="Normal"/>
    <w:link w:val="FooterChar"/>
    <w:uiPriority w:val="99"/>
    <w:rsid w:val="00923507"/>
    <w:pPr>
      <w:tabs>
        <w:tab w:val="center" w:pos="4680"/>
        <w:tab w:val="right" w:pos="9360"/>
      </w:tabs>
    </w:pPr>
    <w:rPr>
      <w:lang w:val="x-none"/>
    </w:rPr>
  </w:style>
  <w:style w:type="character" w:customStyle="1" w:styleId="FooterChar">
    <w:name w:val="Footer Char"/>
    <w:link w:val="Footer"/>
    <w:uiPriority w:val="99"/>
    <w:rsid w:val="00923507"/>
    <w:rPr>
      <w:rFonts w:eastAsia="Batang"/>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                THÀNH PHỐ ĐÀ NẴNG</vt:lpstr>
    </vt:vector>
  </TitlesOfParts>
  <Company>Microsoft</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                THÀNH PHỐ ĐÀ NẴNG</dc:title>
  <dc:subject/>
  <dc:creator>Smart</dc:creator>
  <cp:keywords/>
  <cp:lastModifiedBy>Truong Cong Nguyen Thanh</cp:lastModifiedBy>
  <cp:revision>3</cp:revision>
  <cp:lastPrinted>2018-12-12T02:57:00Z</cp:lastPrinted>
  <dcterms:created xsi:type="dcterms:W3CDTF">2021-04-13T02:36:00Z</dcterms:created>
  <dcterms:modified xsi:type="dcterms:W3CDTF">2021-04-13T02:36:00Z</dcterms:modified>
</cp:coreProperties>
</file>