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r>
              <w:rPr>
                <w:b/>
                <w:sz w:val="26"/>
              </w:rPr>
              <w:t xml:space="preserve">   </w:t>
            </w:r>
            <w:r w:rsidR="00B40F29">
              <w:rPr>
                <w:b/>
                <w:sz w:val="26"/>
              </w:rPr>
              <w:t xml:space="preserve">    </w:t>
            </w:r>
            <w:r w:rsidR="00770057" w:rsidRPr="00E45378">
              <w:rPr>
                <w:b/>
                <w:sz w:val="26"/>
              </w:rPr>
              <w:t>ỦY BAN NHÂN DÂN</w:t>
            </w:r>
          </w:p>
          <w:p w:rsidR="00770057" w:rsidRPr="00E45378" w:rsidRDefault="00AA3182"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066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AA3182"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9A8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7A2264">
              <w:rPr>
                <w:sz w:val="28"/>
                <w:szCs w:val="28"/>
              </w:rPr>
              <w:t xml:space="preserve">   </w:t>
            </w:r>
            <w:r w:rsidR="008552FC" w:rsidRPr="008552FC">
              <w:rPr>
                <w:sz w:val="28"/>
                <w:szCs w:val="28"/>
              </w:rPr>
              <w:t>Số:</w:t>
            </w:r>
            <w:r w:rsidR="00CF68E0">
              <w:rPr>
                <w:sz w:val="28"/>
                <w:szCs w:val="28"/>
              </w:rPr>
              <w:t>11</w:t>
            </w:r>
            <w:r w:rsidR="003E480E">
              <w:rPr>
                <w:sz w:val="28"/>
                <w:szCs w:val="28"/>
              </w:rPr>
              <w:t>/</w:t>
            </w:r>
            <w:r w:rsidR="00D30D0D">
              <w:rPr>
                <w:sz w:val="28"/>
                <w:szCs w:val="28"/>
              </w:rPr>
              <w:t>201</w:t>
            </w:r>
            <w:r w:rsidR="00CF68E0">
              <w:rPr>
                <w:sz w:val="28"/>
                <w:szCs w:val="28"/>
              </w:rPr>
              <w:t>9</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CF68E0">
              <w:rPr>
                <w:i/>
                <w:sz w:val="28"/>
                <w:szCs w:val="28"/>
              </w:rPr>
              <w:t xml:space="preserve"> 12</w:t>
            </w:r>
            <w:r w:rsidR="003A6752">
              <w:rPr>
                <w:i/>
                <w:sz w:val="28"/>
                <w:szCs w:val="28"/>
              </w:rPr>
              <w:t xml:space="preserve"> </w:t>
            </w:r>
            <w:r w:rsidR="008552FC" w:rsidRPr="008552FC">
              <w:rPr>
                <w:i/>
                <w:sz w:val="28"/>
                <w:szCs w:val="28"/>
              </w:rPr>
              <w:t>tháng</w:t>
            </w:r>
            <w:r w:rsidR="00A46B4B">
              <w:rPr>
                <w:i/>
                <w:sz w:val="28"/>
                <w:szCs w:val="28"/>
              </w:rPr>
              <w:t xml:space="preserve"> </w:t>
            </w:r>
            <w:r w:rsidR="00CF68E0">
              <w:rPr>
                <w:i/>
                <w:sz w:val="28"/>
                <w:szCs w:val="28"/>
              </w:rPr>
              <w:t>2</w:t>
            </w:r>
            <w:r w:rsidR="003A6752">
              <w:rPr>
                <w:i/>
                <w:sz w:val="28"/>
                <w:szCs w:val="28"/>
              </w:rPr>
              <w:t xml:space="preserve"> </w:t>
            </w:r>
            <w:r w:rsidR="008552FC" w:rsidRPr="008552FC">
              <w:rPr>
                <w:i/>
                <w:sz w:val="28"/>
                <w:szCs w:val="28"/>
              </w:rPr>
              <w:t>năm 201</w:t>
            </w:r>
            <w:r w:rsidR="00CF68E0">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CF68E0" w:rsidRDefault="00CF68E0" w:rsidP="00F738A2">
      <w:pPr>
        <w:jc w:val="center"/>
        <w:rPr>
          <w:b/>
          <w:bCs/>
          <w:sz w:val="28"/>
          <w:szCs w:val="28"/>
        </w:rPr>
      </w:pPr>
      <w:r>
        <w:rPr>
          <w:b/>
          <w:bCs/>
          <w:sz w:val="28"/>
          <w:szCs w:val="28"/>
        </w:rPr>
        <w:t xml:space="preserve">Quy định mức thu tiền sử dụng hạ tầng </w:t>
      </w:r>
    </w:p>
    <w:p w:rsidR="00CF68E0" w:rsidRDefault="00CF68E0" w:rsidP="00F738A2">
      <w:pPr>
        <w:jc w:val="center"/>
        <w:rPr>
          <w:b/>
          <w:bCs/>
          <w:sz w:val="28"/>
          <w:szCs w:val="28"/>
        </w:rPr>
      </w:pPr>
      <w:r>
        <w:rPr>
          <w:b/>
          <w:bCs/>
          <w:sz w:val="28"/>
          <w:szCs w:val="28"/>
        </w:rPr>
        <w:t>trong Khu công nghệ cao Đà nẵng</w:t>
      </w:r>
    </w:p>
    <w:p w:rsidR="0028433B" w:rsidRPr="009E192D" w:rsidRDefault="00AA3182" w:rsidP="00B40F29">
      <w:pPr>
        <w:ind w:left="-284"/>
        <w:jc w:val="center"/>
        <w:rPr>
          <w:b/>
          <w:bCs/>
          <w:sz w:val="27"/>
          <w:szCs w:val="27"/>
        </w:rPr>
      </w:pPr>
      <w:bookmarkStart w:id="0" w:name="_GoBack"/>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54610</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24F0"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4.3pt" to="29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"/>
            </w:pict>
          </mc:Fallback>
        </mc:AlternateContent>
      </w:r>
      <w:bookmarkEnd w:id="0"/>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Default="00CD25A8" w:rsidP="00651EDF">
      <w:pPr>
        <w:pStyle w:val="BodyTextIndent"/>
        <w:spacing w:before="0" w:after="0"/>
        <w:ind w:right="-43" w:firstLine="709"/>
        <w:rPr>
          <w:rFonts w:ascii="Times New Roman" w:hAnsi="Times New Roman"/>
          <w:i/>
          <w:szCs w:val="28"/>
          <w:lang w:val="en-US"/>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87044F" w:rsidRPr="0087044F" w:rsidRDefault="0087044F" w:rsidP="00651EDF">
      <w:pPr>
        <w:pStyle w:val="BodyTextIndent"/>
        <w:spacing w:before="0" w:after="0"/>
        <w:ind w:right="-43" w:firstLine="709"/>
        <w:rPr>
          <w:rFonts w:ascii="Times New Roman" w:hAnsi="Times New Roman"/>
          <w:i/>
          <w:szCs w:val="28"/>
          <w:lang w:val="en-US"/>
        </w:rPr>
      </w:pPr>
    </w:p>
    <w:p w:rsidR="00FB2C4F" w:rsidRDefault="000645F9" w:rsidP="00651EDF">
      <w:pPr>
        <w:ind w:firstLine="709"/>
        <w:jc w:val="both"/>
        <w:rPr>
          <w:i/>
          <w:iCs/>
          <w:sz w:val="28"/>
          <w:szCs w:val="28"/>
        </w:rPr>
      </w:pPr>
      <w:r w:rsidRPr="005831DF">
        <w:rPr>
          <w:i/>
          <w:sz w:val="28"/>
          <w:szCs w:val="28"/>
        </w:rPr>
        <w:t xml:space="preserve">Căn cứ Nghị định số </w:t>
      </w:r>
      <w:r w:rsidR="00FB2C4F">
        <w:rPr>
          <w:i/>
          <w:sz w:val="28"/>
          <w:szCs w:val="28"/>
        </w:rPr>
        <w:t>04/2018</w:t>
      </w:r>
      <w:r w:rsidRPr="005831DF">
        <w:rPr>
          <w:i/>
          <w:sz w:val="28"/>
          <w:szCs w:val="28"/>
        </w:rPr>
        <w:t xml:space="preserve">/NĐ-CP </w:t>
      </w:r>
      <w:r w:rsidR="00FB2C4F">
        <w:rPr>
          <w:i/>
          <w:iCs/>
          <w:sz w:val="28"/>
          <w:szCs w:val="28"/>
        </w:rPr>
        <w:t>ngày 0</w:t>
      </w:r>
      <w:bookmarkStart w:id="1" w:name="loai_1_name"/>
      <w:r w:rsidR="00FB2C4F">
        <w:rPr>
          <w:i/>
          <w:iCs/>
          <w:sz w:val="28"/>
          <w:szCs w:val="28"/>
        </w:rPr>
        <w:t>4 tháng 01năm 2018</w:t>
      </w:r>
      <w:r w:rsidR="00F738A2">
        <w:rPr>
          <w:i/>
          <w:iCs/>
          <w:sz w:val="28"/>
          <w:szCs w:val="28"/>
        </w:rPr>
        <w:t xml:space="preserve"> của Chính phủ</w:t>
      </w:r>
      <w:r w:rsidR="00FB2C4F">
        <w:rPr>
          <w:i/>
          <w:iCs/>
          <w:sz w:val="28"/>
          <w:szCs w:val="28"/>
        </w:rPr>
        <w:t xml:space="preserve"> về</w:t>
      </w:r>
      <w:r w:rsidR="00F738A2">
        <w:rPr>
          <w:i/>
          <w:iCs/>
          <w:sz w:val="28"/>
          <w:szCs w:val="28"/>
        </w:rPr>
        <w:t xml:space="preserve"> quy định</w:t>
      </w:r>
      <w:r w:rsidR="00FB2C4F">
        <w:rPr>
          <w:i/>
          <w:iCs/>
          <w:sz w:val="28"/>
          <w:szCs w:val="28"/>
        </w:rPr>
        <w:t xml:space="preserve"> cơ chế, chính sách ưu đãi đối với Khu công nghệ cao Đà Nẵng;</w:t>
      </w:r>
    </w:p>
    <w:p w:rsidR="0087044F" w:rsidRDefault="0087044F" w:rsidP="00651EDF">
      <w:pPr>
        <w:ind w:firstLine="709"/>
        <w:jc w:val="both"/>
        <w:rPr>
          <w:i/>
          <w:iCs/>
          <w:sz w:val="28"/>
          <w:szCs w:val="28"/>
        </w:rPr>
      </w:pPr>
    </w:p>
    <w:p w:rsidR="00FB2C4F" w:rsidRDefault="00FB2C4F" w:rsidP="00651EDF">
      <w:pPr>
        <w:ind w:firstLine="709"/>
        <w:jc w:val="both"/>
        <w:rPr>
          <w:i/>
          <w:iCs/>
          <w:sz w:val="28"/>
          <w:szCs w:val="28"/>
        </w:rPr>
      </w:pPr>
      <w:r>
        <w:rPr>
          <w:i/>
          <w:iCs/>
          <w:sz w:val="28"/>
          <w:szCs w:val="28"/>
        </w:rPr>
        <w:t>Căn cứ Thông tư số 25/2014/TT-BTC ngày 12/02/2014 của Bộ trưởng Bộ Tài chính về quy định phương pháp thẩm định giá chung đối với hàng hóa, dịch vụ;</w:t>
      </w:r>
    </w:p>
    <w:p w:rsidR="0087044F" w:rsidRDefault="0087044F" w:rsidP="00651EDF">
      <w:pPr>
        <w:ind w:firstLine="709"/>
        <w:jc w:val="both"/>
        <w:rPr>
          <w:i/>
          <w:iCs/>
          <w:sz w:val="28"/>
          <w:szCs w:val="28"/>
        </w:rPr>
      </w:pPr>
    </w:p>
    <w:p w:rsidR="00FB2C4F" w:rsidRDefault="00F738A2" w:rsidP="00651EDF">
      <w:pPr>
        <w:ind w:firstLine="709"/>
        <w:jc w:val="both"/>
        <w:rPr>
          <w:bCs/>
          <w:i/>
          <w:sz w:val="28"/>
          <w:szCs w:val="28"/>
          <w:lang w:val="pt-BR"/>
        </w:rPr>
      </w:pPr>
      <w:r>
        <w:rPr>
          <w:i/>
          <w:iCs/>
          <w:sz w:val="28"/>
          <w:szCs w:val="28"/>
        </w:rPr>
        <w:t xml:space="preserve"> </w:t>
      </w:r>
      <w:bookmarkEnd w:id="1"/>
      <w:r w:rsidR="00FB2C4F">
        <w:rPr>
          <w:bCs/>
          <w:i/>
          <w:sz w:val="28"/>
          <w:szCs w:val="28"/>
          <w:lang w:val="pt-BR"/>
        </w:rPr>
        <w:t xml:space="preserve">Theo </w:t>
      </w:r>
      <w:r>
        <w:rPr>
          <w:bCs/>
          <w:i/>
          <w:sz w:val="28"/>
          <w:szCs w:val="28"/>
          <w:lang w:val="pt-BR"/>
        </w:rPr>
        <w:t xml:space="preserve">đề nghị của Sở Tài </w:t>
      </w:r>
      <w:r w:rsidR="00FB2C4F">
        <w:rPr>
          <w:bCs/>
          <w:i/>
          <w:sz w:val="28"/>
          <w:szCs w:val="28"/>
          <w:lang w:val="pt-BR"/>
        </w:rPr>
        <w:t>chính tại Công văn số 3085/STC- GCS ngày 17 tháng 9 năm 2018 và Công văn số 4189//STC- GCS ngày 10 tháng 12 năm 2018; ý kiến thẩm định dự thảo văn bản của Sở Tư pháp tại Công văn số 4190/STP- XDKTVB ngày 04 tháng 12 năm 2018 và trên cơ sở ý kiến kết luận của UBND thành phố tại cuộc họp thường kỳ ngày 11 tháng 01 năm 2019.</w:t>
      </w:r>
    </w:p>
    <w:p w:rsidR="00770057" w:rsidRPr="00EC346C" w:rsidRDefault="00770057" w:rsidP="003E480E">
      <w:pPr>
        <w:ind w:firstLine="709"/>
        <w:jc w:val="both"/>
        <w:rPr>
          <w:sz w:val="12"/>
          <w:szCs w:val="28"/>
          <w:lang w:val="pt-BR"/>
        </w:rPr>
      </w:pPr>
    </w:p>
    <w:p w:rsidR="00945CC2" w:rsidRDefault="00945CC2" w:rsidP="00E8383C">
      <w:pPr>
        <w:pStyle w:val="BodyTextIndent"/>
        <w:spacing w:before="120" w:after="0"/>
        <w:ind w:firstLine="0"/>
        <w:jc w:val="center"/>
        <w:rPr>
          <w:rFonts w:ascii="Times New Roman" w:hAnsi="Times New Roman"/>
          <w:b/>
          <w:sz w:val="27"/>
          <w:szCs w:val="27"/>
          <w:lang w:val="en-US"/>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FB2C4F" w:rsidRPr="00236590" w:rsidRDefault="00945CC2" w:rsidP="00945CC2">
      <w:pPr>
        <w:jc w:val="both"/>
        <w:rPr>
          <w:b/>
          <w:sz w:val="28"/>
          <w:lang w:val="pt-BR"/>
        </w:rPr>
      </w:pPr>
      <w:r>
        <w:rPr>
          <w:b/>
          <w:sz w:val="28"/>
          <w:lang w:val="pt-BR"/>
        </w:rPr>
        <w:t xml:space="preserve">      </w:t>
      </w:r>
      <w:r w:rsidR="00236590">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00FB2C4F" w:rsidRPr="00236590">
        <w:rPr>
          <w:b/>
          <w:sz w:val="28"/>
          <w:lang w:val="pt-BR"/>
        </w:rPr>
        <w:t>Phạm vi điều chỉnh và đối tượng áp dụng</w:t>
      </w:r>
    </w:p>
    <w:p w:rsidR="00C41B18" w:rsidRDefault="00FB2C4F" w:rsidP="00FB2C4F">
      <w:pPr>
        <w:jc w:val="both"/>
        <w:rPr>
          <w:sz w:val="28"/>
          <w:lang w:val="pt-BR"/>
        </w:rPr>
      </w:pPr>
      <w:r>
        <w:rPr>
          <w:sz w:val="28"/>
          <w:lang w:val="pt-BR"/>
        </w:rPr>
        <w:t xml:space="preserve">             </w:t>
      </w:r>
    </w:p>
    <w:p w:rsidR="00FB2C4F" w:rsidRDefault="00C41B18" w:rsidP="00FB2C4F">
      <w:pPr>
        <w:jc w:val="both"/>
        <w:rPr>
          <w:sz w:val="28"/>
          <w:lang w:val="pt-BR"/>
        </w:rPr>
      </w:pPr>
      <w:r>
        <w:rPr>
          <w:sz w:val="28"/>
          <w:lang w:val="pt-BR"/>
        </w:rPr>
        <w:t xml:space="preserve">             </w:t>
      </w:r>
      <w:r w:rsidR="00FB2C4F">
        <w:rPr>
          <w:sz w:val="28"/>
          <w:lang w:val="pt-BR"/>
        </w:rPr>
        <w:t>1.Phạm vi điều chỉnh</w:t>
      </w:r>
    </w:p>
    <w:p w:rsidR="00FB2C4F" w:rsidRDefault="00FB2C4F" w:rsidP="00FB2C4F">
      <w:pPr>
        <w:jc w:val="both"/>
        <w:rPr>
          <w:bCs/>
          <w:sz w:val="28"/>
          <w:szCs w:val="28"/>
        </w:rPr>
      </w:pPr>
      <w:r>
        <w:rPr>
          <w:sz w:val="28"/>
          <w:lang w:val="pt-BR"/>
        </w:rPr>
        <w:t xml:space="preserve">             </w:t>
      </w:r>
      <w:r w:rsidR="00945CC2" w:rsidRPr="00945CC2">
        <w:rPr>
          <w:bCs/>
          <w:sz w:val="28"/>
          <w:szCs w:val="28"/>
        </w:rPr>
        <w:t>Quyết định</w:t>
      </w:r>
      <w:r>
        <w:rPr>
          <w:bCs/>
          <w:sz w:val="28"/>
          <w:szCs w:val="28"/>
        </w:rPr>
        <w:t xml:space="preserve"> này quy định mức thu tiền sử dụng hạ tầng trong Khu công nghệ cao Đà Nẵng</w:t>
      </w:r>
    </w:p>
    <w:p w:rsidR="00C41B18" w:rsidRDefault="00C41B18" w:rsidP="00FB2C4F">
      <w:pPr>
        <w:jc w:val="both"/>
        <w:rPr>
          <w:bCs/>
          <w:sz w:val="28"/>
          <w:szCs w:val="28"/>
        </w:rPr>
      </w:pPr>
    </w:p>
    <w:p w:rsidR="00FB2C4F" w:rsidRDefault="00FB2C4F" w:rsidP="00FB2C4F">
      <w:pPr>
        <w:jc w:val="both"/>
        <w:rPr>
          <w:bCs/>
          <w:sz w:val="28"/>
          <w:szCs w:val="28"/>
        </w:rPr>
      </w:pPr>
      <w:r>
        <w:rPr>
          <w:bCs/>
          <w:sz w:val="28"/>
          <w:szCs w:val="28"/>
        </w:rPr>
        <w:t xml:space="preserve">            </w:t>
      </w:r>
      <w:r w:rsidR="00C41B18">
        <w:rPr>
          <w:bCs/>
          <w:sz w:val="28"/>
          <w:szCs w:val="28"/>
        </w:rPr>
        <w:t xml:space="preserve"> </w:t>
      </w:r>
      <w:r>
        <w:rPr>
          <w:bCs/>
          <w:sz w:val="28"/>
          <w:szCs w:val="28"/>
        </w:rPr>
        <w:t xml:space="preserve"> 2.</w:t>
      </w:r>
      <w:r w:rsidR="00236590">
        <w:rPr>
          <w:bCs/>
          <w:sz w:val="28"/>
          <w:szCs w:val="28"/>
        </w:rPr>
        <w:t xml:space="preserve"> </w:t>
      </w:r>
      <w:r>
        <w:rPr>
          <w:bCs/>
          <w:sz w:val="28"/>
          <w:szCs w:val="28"/>
        </w:rPr>
        <w:t>Đối tượng áp dụng</w:t>
      </w:r>
    </w:p>
    <w:p w:rsidR="00C41B18" w:rsidRDefault="00236590" w:rsidP="00FB2C4F">
      <w:pPr>
        <w:jc w:val="both"/>
        <w:rPr>
          <w:bCs/>
          <w:sz w:val="28"/>
          <w:szCs w:val="28"/>
        </w:rPr>
      </w:pPr>
      <w:r>
        <w:rPr>
          <w:bCs/>
          <w:sz w:val="28"/>
          <w:szCs w:val="28"/>
        </w:rPr>
        <w:t xml:space="preserve">             </w:t>
      </w:r>
      <w:r w:rsidR="00FB2C4F">
        <w:rPr>
          <w:bCs/>
          <w:sz w:val="28"/>
          <w:szCs w:val="28"/>
        </w:rPr>
        <w:t xml:space="preserve"> a) Ban quản lý Khu công nghệ cao và các</w:t>
      </w:r>
      <w:r w:rsidR="00C41B18">
        <w:rPr>
          <w:bCs/>
          <w:sz w:val="28"/>
          <w:szCs w:val="28"/>
        </w:rPr>
        <w:t xml:space="preserve"> khu công nghiệp Đà Nẵng và các tổ chức, cá nhân trong nước, người Việt Nam ở nước ngoài và tổ chức, cá nhân nước ngoài có dự án đầu tư tại Khu công nghệ cao Đà Nẵng.</w:t>
      </w:r>
    </w:p>
    <w:p w:rsidR="00181E88" w:rsidRDefault="00181E88" w:rsidP="00FB2C4F">
      <w:pPr>
        <w:jc w:val="both"/>
        <w:rPr>
          <w:bCs/>
          <w:sz w:val="28"/>
          <w:szCs w:val="28"/>
        </w:rPr>
      </w:pPr>
    </w:p>
    <w:p w:rsidR="00C41B18" w:rsidRDefault="00181E88" w:rsidP="00FB2C4F">
      <w:pPr>
        <w:jc w:val="both"/>
        <w:rPr>
          <w:bCs/>
          <w:sz w:val="28"/>
          <w:szCs w:val="28"/>
        </w:rPr>
      </w:pPr>
      <w:r>
        <w:rPr>
          <w:bCs/>
          <w:sz w:val="28"/>
          <w:szCs w:val="28"/>
        </w:rPr>
        <w:t xml:space="preserve">              b) C</w:t>
      </w:r>
      <w:r w:rsidR="00C41B18">
        <w:rPr>
          <w:bCs/>
          <w:sz w:val="28"/>
          <w:szCs w:val="28"/>
        </w:rPr>
        <w:t>ác cơ quan quản lý nhà nước căn cứ quy định tại Quyết định này để thực hiện nhiệm vụ quản lý nhà nước có liên quan.</w:t>
      </w:r>
    </w:p>
    <w:p w:rsidR="00945CC2" w:rsidRPr="00945CC2" w:rsidRDefault="00945CC2" w:rsidP="00FB2C4F">
      <w:pPr>
        <w:jc w:val="both"/>
        <w:rPr>
          <w:bCs/>
          <w:sz w:val="28"/>
          <w:szCs w:val="28"/>
        </w:rPr>
      </w:pPr>
      <w:r w:rsidRPr="00945CC2">
        <w:rPr>
          <w:bCs/>
          <w:sz w:val="28"/>
          <w:szCs w:val="28"/>
        </w:rPr>
        <w:t xml:space="preserve"> </w:t>
      </w:r>
    </w:p>
    <w:p w:rsidR="00C41B18" w:rsidRDefault="00945CC2" w:rsidP="00945CC2">
      <w:pPr>
        <w:spacing w:after="120"/>
        <w:jc w:val="both"/>
        <w:rPr>
          <w:b/>
          <w:sz w:val="28"/>
          <w:szCs w:val="28"/>
          <w:lang w:val="nl-NL"/>
        </w:rPr>
      </w:pPr>
      <w:r>
        <w:rPr>
          <w:b/>
          <w:sz w:val="28"/>
          <w:szCs w:val="28"/>
          <w:lang w:val="nl-NL"/>
        </w:rPr>
        <w:t xml:space="preserve">         </w:t>
      </w:r>
      <w:r w:rsidR="000465A2">
        <w:rPr>
          <w:b/>
          <w:sz w:val="28"/>
          <w:szCs w:val="28"/>
          <w:lang w:val="nl-NL"/>
        </w:rPr>
        <w:t>Điều 2.</w:t>
      </w:r>
      <w:r w:rsidR="00C41B18">
        <w:rPr>
          <w:b/>
          <w:sz w:val="28"/>
          <w:szCs w:val="28"/>
          <w:lang w:val="nl-NL"/>
        </w:rPr>
        <w:t xml:space="preserve"> Mức thu và hình thức trả tiền sử dụng hạ tầng trong Khu công nghệ cao Đà Nẵng</w:t>
      </w:r>
    </w:p>
    <w:p w:rsidR="00C41B18" w:rsidRDefault="00236590" w:rsidP="00945CC2">
      <w:pPr>
        <w:spacing w:after="120"/>
        <w:jc w:val="both"/>
        <w:rPr>
          <w:b/>
          <w:sz w:val="28"/>
          <w:szCs w:val="28"/>
          <w:lang w:val="nl-NL"/>
        </w:rPr>
      </w:pPr>
      <w:r>
        <w:rPr>
          <w:b/>
          <w:sz w:val="28"/>
          <w:szCs w:val="28"/>
          <w:lang w:val="nl-NL"/>
        </w:rPr>
        <w:lastRenderedPageBreak/>
        <w:t xml:space="preserve">           </w:t>
      </w:r>
      <w:r w:rsidR="00C41B18">
        <w:rPr>
          <w:b/>
          <w:sz w:val="28"/>
          <w:szCs w:val="28"/>
          <w:lang w:val="nl-NL"/>
        </w:rPr>
        <w:t xml:space="preserve"> </w:t>
      </w:r>
      <w:r w:rsidR="00C41B18" w:rsidRPr="00C41B18">
        <w:rPr>
          <w:sz w:val="28"/>
          <w:szCs w:val="28"/>
          <w:lang w:val="nl-NL"/>
        </w:rPr>
        <w:t>1.Mức thu</w:t>
      </w:r>
      <w:r w:rsidR="000465A2">
        <w:rPr>
          <w:b/>
          <w:sz w:val="28"/>
          <w:szCs w:val="28"/>
          <w:lang w:val="nl-NL"/>
        </w:rPr>
        <w:t xml:space="preserve"> </w:t>
      </w:r>
    </w:p>
    <w:p w:rsidR="00C41B18" w:rsidRDefault="00236590" w:rsidP="00C41B18">
      <w:pPr>
        <w:spacing w:after="120"/>
        <w:jc w:val="both"/>
        <w:rPr>
          <w:sz w:val="28"/>
          <w:szCs w:val="28"/>
          <w:lang w:val="nl-NL"/>
        </w:rPr>
      </w:pPr>
      <w:r>
        <w:rPr>
          <w:sz w:val="28"/>
          <w:szCs w:val="28"/>
          <w:lang w:val="nl-NL"/>
        </w:rPr>
        <w:t xml:space="preserve">            </w:t>
      </w:r>
      <w:r w:rsidR="00C41B18" w:rsidRPr="00C41B18">
        <w:rPr>
          <w:sz w:val="28"/>
          <w:szCs w:val="28"/>
          <w:lang w:val="nl-NL"/>
        </w:rPr>
        <w:t xml:space="preserve"> a) Mức thu tiền sử dụng hạ tầng trong Khu công nghệ cao Đà Nẵng</w:t>
      </w:r>
      <w:r w:rsidR="00C41B18">
        <w:rPr>
          <w:sz w:val="28"/>
          <w:szCs w:val="28"/>
          <w:lang w:val="nl-NL"/>
        </w:rPr>
        <w:t xml:space="preserve"> là 6</w:t>
      </w:r>
      <w:r w:rsidR="006145B4">
        <w:rPr>
          <w:sz w:val="28"/>
          <w:szCs w:val="28"/>
          <w:lang w:val="nl-NL"/>
        </w:rPr>
        <w:t>.</w:t>
      </w:r>
      <w:r w:rsidR="00C41B18">
        <w:rPr>
          <w:sz w:val="28"/>
          <w:szCs w:val="28"/>
          <w:lang w:val="nl-NL"/>
        </w:rPr>
        <w:t>000đồng/m2/năm (Sáu nghìn đồng trên mét vuông trên một năm). Mức thu này chưa bao gồm thuế giá trị gia tăng</w:t>
      </w:r>
    </w:p>
    <w:p w:rsidR="00C41B18" w:rsidRDefault="00236590" w:rsidP="00C41B18">
      <w:pPr>
        <w:spacing w:after="120"/>
        <w:jc w:val="both"/>
        <w:rPr>
          <w:sz w:val="28"/>
          <w:szCs w:val="28"/>
          <w:lang w:val="nl-NL"/>
        </w:rPr>
      </w:pPr>
      <w:r>
        <w:rPr>
          <w:sz w:val="28"/>
          <w:szCs w:val="28"/>
          <w:lang w:val="nl-NL"/>
        </w:rPr>
        <w:t xml:space="preserve">           </w:t>
      </w:r>
      <w:r w:rsidR="00C41B18">
        <w:rPr>
          <w:sz w:val="28"/>
          <w:szCs w:val="28"/>
          <w:lang w:val="nl-NL"/>
        </w:rPr>
        <w:t xml:space="preserve"> b) </w:t>
      </w:r>
      <w:r w:rsidR="00C41B18" w:rsidRPr="00C41B18">
        <w:rPr>
          <w:sz w:val="28"/>
          <w:szCs w:val="28"/>
          <w:lang w:val="nl-NL"/>
        </w:rPr>
        <w:t>Mức thu tiền sử dụng hạ tầng</w:t>
      </w:r>
      <w:r w:rsidR="00C41B18">
        <w:rPr>
          <w:sz w:val="28"/>
          <w:szCs w:val="28"/>
          <w:lang w:val="nl-NL"/>
        </w:rPr>
        <w:t xml:space="preserve"> quy định tại Điểm a, Khoản 1 Điều này được giữ ổn định trong vòng 03 năm kể từ ngày Quyết định này có hiệu lực thi hành. Hết thời gian ổn định, Ban quản lý Khu công nghệ cao và cá</w:t>
      </w:r>
      <w:r w:rsidR="00E55A5E">
        <w:rPr>
          <w:sz w:val="28"/>
          <w:szCs w:val="28"/>
          <w:lang w:val="nl-NL"/>
        </w:rPr>
        <w:t>c khu công nghiệp Đ</w:t>
      </w:r>
      <w:r w:rsidR="00C41B18">
        <w:rPr>
          <w:sz w:val="28"/>
          <w:szCs w:val="28"/>
          <w:lang w:val="nl-NL"/>
        </w:rPr>
        <w:t xml:space="preserve">à nẵng xây dựng lại mức thu mới gửi Sở Tài chính thẩm tra, trình UBND thành phố Đà Nẵng xem xét điều chỉnh lại mức thu </w:t>
      </w:r>
      <w:r w:rsidR="00C41B18" w:rsidRPr="00C41B18">
        <w:rPr>
          <w:sz w:val="28"/>
          <w:szCs w:val="28"/>
          <w:lang w:val="nl-NL"/>
        </w:rPr>
        <w:t>tiền sử dụng hạ tầng</w:t>
      </w:r>
      <w:r w:rsidR="00C41B18">
        <w:rPr>
          <w:sz w:val="28"/>
          <w:szCs w:val="28"/>
          <w:lang w:val="nl-NL"/>
        </w:rPr>
        <w:t xml:space="preserve"> để áp dụng cho thời gian ổn định tiếp theo phù hợp với giá thị trường tại thời điểm điều chỉnh.</w:t>
      </w:r>
    </w:p>
    <w:p w:rsidR="00C41B18" w:rsidRDefault="00236590" w:rsidP="00C41B18">
      <w:pPr>
        <w:spacing w:after="120"/>
        <w:jc w:val="both"/>
        <w:rPr>
          <w:sz w:val="28"/>
          <w:szCs w:val="28"/>
          <w:lang w:val="nl-NL"/>
        </w:rPr>
      </w:pPr>
      <w:r>
        <w:rPr>
          <w:sz w:val="28"/>
          <w:szCs w:val="28"/>
          <w:lang w:val="nl-NL"/>
        </w:rPr>
        <w:t xml:space="preserve">            </w:t>
      </w:r>
      <w:r w:rsidR="00C41B18">
        <w:rPr>
          <w:sz w:val="28"/>
          <w:szCs w:val="28"/>
          <w:lang w:val="nl-NL"/>
        </w:rPr>
        <w:t>2.Hình thức trả tiền</w:t>
      </w:r>
    </w:p>
    <w:p w:rsidR="00C41B18" w:rsidRDefault="00236590" w:rsidP="00C41B18">
      <w:pPr>
        <w:spacing w:after="120"/>
        <w:jc w:val="both"/>
        <w:rPr>
          <w:sz w:val="28"/>
          <w:szCs w:val="28"/>
          <w:lang w:val="nl-NL"/>
        </w:rPr>
      </w:pPr>
      <w:r>
        <w:rPr>
          <w:sz w:val="28"/>
          <w:szCs w:val="28"/>
          <w:lang w:val="nl-NL"/>
        </w:rPr>
        <w:t xml:space="preserve">           </w:t>
      </w:r>
      <w:r w:rsidR="00C41B18">
        <w:rPr>
          <w:sz w:val="28"/>
          <w:szCs w:val="28"/>
          <w:lang w:val="nl-NL"/>
        </w:rPr>
        <w:t xml:space="preserve">Nhà đầu tư </w:t>
      </w:r>
      <w:r w:rsidR="00B341B5">
        <w:rPr>
          <w:sz w:val="28"/>
          <w:szCs w:val="28"/>
          <w:lang w:val="nl-NL"/>
        </w:rPr>
        <w:t xml:space="preserve">trả </w:t>
      </w:r>
      <w:r w:rsidR="00B341B5" w:rsidRPr="00C41B18">
        <w:rPr>
          <w:sz w:val="28"/>
          <w:szCs w:val="28"/>
          <w:lang w:val="nl-NL"/>
        </w:rPr>
        <w:t>tiền sử dụng hạ tầng</w:t>
      </w:r>
      <w:r w:rsidR="00B341B5">
        <w:rPr>
          <w:sz w:val="28"/>
          <w:szCs w:val="28"/>
          <w:lang w:val="nl-NL"/>
        </w:rPr>
        <w:t xml:space="preserve"> theo hình thức trả tiền hàng năm và được giữ ổn định trong vòng 03 năm kể từ ngày nhà đầu tư ký hợp đồng nhận bàn giao đất th</w:t>
      </w:r>
      <w:r w:rsidR="006145B4">
        <w:rPr>
          <w:sz w:val="28"/>
          <w:szCs w:val="28"/>
          <w:lang w:val="nl-NL"/>
        </w:rPr>
        <w:t>uê đến</w:t>
      </w:r>
      <w:r w:rsidR="00B341B5">
        <w:rPr>
          <w:sz w:val="28"/>
          <w:szCs w:val="28"/>
          <w:lang w:val="nl-NL"/>
        </w:rPr>
        <w:t xml:space="preserve"> hết thời gian ổn định;</w:t>
      </w:r>
      <w:r w:rsidR="00B341B5" w:rsidRPr="00B341B5">
        <w:rPr>
          <w:sz w:val="28"/>
          <w:szCs w:val="28"/>
          <w:lang w:val="nl-NL"/>
        </w:rPr>
        <w:t xml:space="preserve"> </w:t>
      </w:r>
      <w:r w:rsidR="00B341B5">
        <w:rPr>
          <w:sz w:val="28"/>
          <w:szCs w:val="28"/>
          <w:lang w:val="nl-NL"/>
        </w:rPr>
        <w:t>m</w:t>
      </w:r>
      <w:r w:rsidR="00B341B5" w:rsidRPr="00C41B18">
        <w:rPr>
          <w:sz w:val="28"/>
          <w:szCs w:val="28"/>
          <w:lang w:val="nl-NL"/>
        </w:rPr>
        <w:t>ức thu tiền sử dụng hạ tầng</w:t>
      </w:r>
      <w:r w:rsidR="00B341B5">
        <w:rPr>
          <w:sz w:val="28"/>
          <w:szCs w:val="28"/>
          <w:lang w:val="nl-NL"/>
        </w:rPr>
        <w:t xml:space="preserve"> của chu kỳ tiếp theo được áp dụng theo mức do UBND thành phố Đà Nẵng quy định tại thời điểm 03 năm tiếp theo tại Điểm b, Khoản 1, Điều 2 nêu trên.</w:t>
      </w:r>
    </w:p>
    <w:p w:rsidR="00236590" w:rsidRDefault="00B341B5" w:rsidP="00C41B18">
      <w:pPr>
        <w:spacing w:after="120"/>
        <w:jc w:val="both"/>
        <w:rPr>
          <w:b/>
          <w:sz w:val="28"/>
          <w:szCs w:val="28"/>
          <w:lang w:val="nl-NL"/>
        </w:rPr>
      </w:pPr>
      <w:r w:rsidRPr="00B341B5">
        <w:rPr>
          <w:b/>
          <w:sz w:val="28"/>
          <w:szCs w:val="28"/>
          <w:lang w:val="nl-NL"/>
        </w:rPr>
        <w:t xml:space="preserve">            </w:t>
      </w:r>
    </w:p>
    <w:p w:rsidR="00B341B5" w:rsidRDefault="00236590" w:rsidP="00C41B18">
      <w:pPr>
        <w:spacing w:after="120"/>
        <w:jc w:val="both"/>
        <w:rPr>
          <w:b/>
          <w:sz w:val="28"/>
          <w:szCs w:val="28"/>
          <w:lang w:val="nl-NL"/>
        </w:rPr>
      </w:pPr>
      <w:r>
        <w:rPr>
          <w:b/>
          <w:sz w:val="28"/>
          <w:szCs w:val="28"/>
          <w:lang w:val="nl-NL"/>
        </w:rPr>
        <w:t xml:space="preserve">         </w:t>
      </w:r>
      <w:r w:rsidR="00B341B5" w:rsidRPr="00B341B5">
        <w:rPr>
          <w:b/>
          <w:sz w:val="28"/>
          <w:szCs w:val="28"/>
          <w:lang w:val="nl-NL"/>
        </w:rPr>
        <w:t xml:space="preserve"> Điều 3.</w:t>
      </w:r>
      <w:r w:rsidR="00B341B5">
        <w:rPr>
          <w:b/>
          <w:sz w:val="28"/>
          <w:szCs w:val="28"/>
          <w:lang w:val="nl-NL"/>
        </w:rPr>
        <w:t xml:space="preserve"> </w:t>
      </w:r>
      <w:r w:rsidR="00B341B5" w:rsidRPr="00B341B5">
        <w:rPr>
          <w:b/>
          <w:sz w:val="28"/>
          <w:szCs w:val="28"/>
          <w:lang w:val="nl-NL"/>
        </w:rPr>
        <w:t>Xử lý chuyển tiếp</w:t>
      </w:r>
    </w:p>
    <w:p w:rsidR="00B341B5" w:rsidRDefault="006145B4" w:rsidP="00C41B18">
      <w:pPr>
        <w:spacing w:after="120"/>
        <w:jc w:val="both"/>
        <w:rPr>
          <w:sz w:val="28"/>
          <w:szCs w:val="28"/>
          <w:lang w:val="nl-NL"/>
        </w:rPr>
      </w:pPr>
      <w:r>
        <w:rPr>
          <w:sz w:val="28"/>
          <w:szCs w:val="28"/>
          <w:lang w:val="nl-NL"/>
        </w:rPr>
        <w:t xml:space="preserve">              </w:t>
      </w:r>
      <w:r w:rsidR="00B341B5" w:rsidRPr="00B341B5">
        <w:rPr>
          <w:sz w:val="28"/>
          <w:szCs w:val="28"/>
          <w:lang w:val="nl-NL"/>
        </w:rPr>
        <w:t>1.</w:t>
      </w:r>
      <w:r w:rsidR="00E55A5E">
        <w:rPr>
          <w:sz w:val="28"/>
          <w:szCs w:val="28"/>
          <w:lang w:val="nl-NL"/>
        </w:rPr>
        <w:t xml:space="preserve"> </w:t>
      </w:r>
      <w:r w:rsidR="00B341B5" w:rsidRPr="00B341B5">
        <w:rPr>
          <w:sz w:val="28"/>
          <w:szCs w:val="28"/>
          <w:lang w:val="nl-NL"/>
        </w:rPr>
        <w:t>Đối với trường hợp các dự án đã được bàn giao đất thuê và được áp dụng mức thu</w:t>
      </w:r>
      <w:r w:rsidR="00B341B5">
        <w:rPr>
          <w:b/>
          <w:sz w:val="28"/>
          <w:szCs w:val="28"/>
          <w:lang w:val="nl-NL"/>
        </w:rPr>
        <w:t xml:space="preserve"> </w:t>
      </w:r>
      <w:r w:rsidR="00B341B5" w:rsidRPr="00C41B18">
        <w:rPr>
          <w:sz w:val="28"/>
          <w:szCs w:val="28"/>
          <w:lang w:val="nl-NL"/>
        </w:rPr>
        <w:t>tiền sử dụng hạ tầng</w:t>
      </w:r>
      <w:r w:rsidR="00B341B5">
        <w:rPr>
          <w:sz w:val="28"/>
          <w:szCs w:val="28"/>
          <w:lang w:val="nl-NL"/>
        </w:rPr>
        <w:t xml:space="preserve"> theo Quyết định số 36/2013/QĐ-UBND ngày 13 11/2013 của UBND thành phố, thì tiếp tục giữ ổn định trên hết thời gian ổn định. Sau khi hết thời gian ổn định này, sẽ áp dụng m</w:t>
      </w:r>
      <w:r w:rsidR="00B341B5" w:rsidRPr="00C41B18">
        <w:rPr>
          <w:sz w:val="28"/>
          <w:szCs w:val="28"/>
          <w:lang w:val="nl-NL"/>
        </w:rPr>
        <w:t>ức thu tiền sử dụng hạ tầng</w:t>
      </w:r>
      <w:r w:rsidR="00B341B5">
        <w:rPr>
          <w:sz w:val="28"/>
          <w:szCs w:val="28"/>
          <w:lang w:val="nl-NL"/>
        </w:rPr>
        <w:t xml:space="preserve"> theo quy định tại Quyết định này.</w:t>
      </w:r>
    </w:p>
    <w:p w:rsidR="00B341B5" w:rsidRDefault="006145B4" w:rsidP="00B341B5">
      <w:pPr>
        <w:spacing w:after="120"/>
        <w:jc w:val="both"/>
        <w:rPr>
          <w:sz w:val="28"/>
          <w:szCs w:val="28"/>
          <w:lang w:val="nl-NL"/>
        </w:rPr>
      </w:pPr>
      <w:r>
        <w:rPr>
          <w:sz w:val="28"/>
          <w:szCs w:val="28"/>
          <w:lang w:val="nl-NL"/>
        </w:rPr>
        <w:t xml:space="preserve">              </w:t>
      </w:r>
      <w:r w:rsidR="00B341B5">
        <w:rPr>
          <w:sz w:val="28"/>
          <w:szCs w:val="28"/>
          <w:lang w:val="nl-NL"/>
        </w:rPr>
        <w:t>2.</w:t>
      </w:r>
      <w:r w:rsidR="00E55A5E">
        <w:rPr>
          <w:sz w:val="28"/>
          <w:szCs w:val="28"/>
          <w:lang w:val="nl-NL"/>
        </w:rPr>
        <w:t xml:space="preserve"> </w:t>
      </w:r>
      <w:r w:rsidR="00B341B5">
        <w:rPr>
          <w:sz w:val="28"/>
          <w:szCs w:val="28"/>
          <w:lang w:val="nl-NL"/>
        </w:rPr>
        <w:t>Đối với trường hợp các dự án nhận bàn giao đất sau ngày Quyết định này có hiệu lực thi hành thì áp dụng m</w:t>
      </w:r>
      <w:r w:rsidR="00B341B5" w:rsidRPr="00C41B18">
        <w:rPr>
          <w:sz w:val="28"/>
          <w:szCs w:val="28"/>
          <w:lang w:val="nl-NL"/>
        </w:rPr>
        <w:t>ức thu tiền sử dụng hạ tầng</w:t>
      </w:r>
      <w:r w:rsidR="00B341B5">
        <w:rPr>
          <w:sz w:val="28"/>
          <w:szCs w:val="28"/>
          <w:lang w:val="nl-NL"/>
        </w:rPr>
        <w:t xml:space="preserve"> theo quy định tại Quyết định này.</w:t>
      </w:r>
    </w:p>
    <w:p w:rsidR="00236590" w:rsidRDefault="00236590" w:rsidP="00C41B18">
      <w:pPr>
        <w:spacing w:after="120"/>
        <w:jc w:val="both"/>
        <w:rPr>
          <w:b/>
          <w:sz w:val="28"/>
          <w:szCs w:val="28"/>
          <w:lang w:val="nl-NL"/>
        </w:rPr>
      </w:pPr>
      <w:r>
        <w:rPr>
          <w:b/>
          <w:sz w:val="28"/>
          <w:szCs w:val="28"/>
          <w:lang w:val="nl-NL"/>
        </w:rPr>
        <w:t xml:space="preserve">           </w:t>
      </w:r>
    </w:p>
    <w:p w:rsidR="00B341B5" w:rsidRDefault="00236590" w:rsidP="00C41B18">
      <w:pPr>
        <w:spacing w:after="120"/>
        <w:jc w:val="both"/>
        <w:rPr>
          <w:b/>
          <w:sz w:val="28"/>
          <w:szCs w:val="28"/>
          <w:lang w:val="nl-NL"/>
        </w:rPr>
      </w:pPr>
      <w:r>
        <w:rPr>
          <w:b/>
          <w:sz w:val="28"/>
          <w:szCs w:val="28"/>
          <w:lang w:val="nl-NL"/>
        </w:rPr>
        <w:t xml:space="preserve">           </w:t>
      </w:r>
      <w:r w:rsidR="00E55A5E">
        <w:rPr>
          <w:b/>
          <w:sz w:val="28"/>
          <w:szCs w:val="28"/>
          <w:lang w:val="nl-NL"/>
        </w:rPr>
        <w:t>Điều 4. Tổ chức thực hiện</w:t>
      </w:r>
    </w:p>
    <w:p w:rsidR="00E55A5E" w:rsidRDefault="00E55A5E" w:rsidP="00E55A5E">
      <w:pPr>
        <w:spacing w:after="120"/>
        <w:jc w:val="both"/>
        <w:rPr>
          <w:sz w:val="28"/>
          <w:szCs w:val="28"/>
          <w:lang w:val="nl-NL"/>
        </w:rPr>
      </w:pPr>
      <w:r>
        <w:rPr>
          <w:sz w:val="28"/>
          <w:szCs w:val="28"/>
          <w:lang w:val="nl-NL"/>
        </w:rPr>
        <w:t xml:space="preserve">               1. Ban quản lý Khu công nghệ cao và các khu công nghiệp Đà nẵng có trách nhiệm thực hiện thu </w:t>
      </w:r>
      <w:r w:rsidRPr="00C41B18">
        <w:rPr>
          <w:sz w:val="28"/>
          <w:szCs w:val="28"/>
          <w:lang w:val="nl-NL"/>
        </w:rPr>
        <w:t>tiền sử dụng hạ tầng</w:t>
      </w:r>
      <w:r>
        <w:rPr>
          <w:sz w:val="28"/>
          <w:szCs w:val="28"/>
          <w:lang w:val="nl-NL"/>
        </w:rPr>
        <w:t xml:space="preserve"> theo đúng quy định tại Quyết định này; quản lý, sử dụng số tiền thu được theo quy định của pháp luật hiện hành.</w:t>
      </w:r>
    </w:p>
    <w:p w:rsidR="00E55A5E" w:rsidRDefault="00E55A5E" w:rsidP="00E55A5E">
      <w:pPr>
        <w:spacing w:after="120"/>
        <w:jc w:val="both"/>
        <w:rPr>
          <w:sz w:val="28"/>
          <w:szCs w:val="28"/>
          <w:lang w:val="nl-NL"/>
        </w:rPr>
      </w:pPr>
      <w:r>
        <w:rPr>
          <w:sz w:val="28"/>
          <w:szCs w:val="28"/>
          <w:lang w:val="nl-NL"/>
        </w:rPr>
        <w:t xml:space="preserve">               2.Trong quá trình triển khai thực hiện, nếu có vướng mắc, phát sinh, Ban quản lý Khu công nghệ cao và các khu công nghiệp Đà nẵng và các đơn vị có liên quan phản ảnh kịp thời bằng văn bản về Sở Tài chính để phối hợp với các đơn vị liên quan tổng hợp, báo cáo UBND thành phố xem xét, giải quyết.</w:t>
      </w:r>
    </w:p>
    <w:p w:rsidR="00236590" w:rsidRDefault="00236590" w:rsidP="00E55A5E">
      <w:pPr>
        <w:spacing w:after="120"/>
        <w:jc w:val="both"/>
        <w:rPr>
          <w:sz w:val="28"/>
          <w:szCs w:val="28"/>
          <w:lang w:val="nl-NL"/>
        </w:rPr>
      </w:pPr>
    </w:p>
    <w:p w:rsidR="000B0D37" w:rsidRDefault="00E55A5E" w:rsidP="00945CC2">
      <w:pPr>
        <w:spacing w:after="120"/>
        <w:jc w:val="both"/>
        <w:rPr>
          <w:sz w:val="28"/>
          <w:szCs w:val="28"/>
          <w:lang w:val="nl-NL"/>
        </w:rPr>
      </w:pPr>
      <w:r w:rsidRPr="00E55A5E">
        <w:rPr>
          <w:b/>
          <w:sz w:val="28"/>
          <w:szCs w:val="28"/>
          <w:lang w:val="nl-NL"/>
        </w:rPr>
        <w:t xml:space="preserve">            Điều 5.</w:t>
      </w:r>
      <w:r w:rsidR="00C41B18">
        <w:rPr>
          <w:b/>
          <w:sz w:val="28"/>
          <w:szCs w:val="28"/>
          <w:lang w:val="nl-NL"/>
        </w:rPr>
        <w:t xml:space="preserve"> </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 ngày</w:t>
      </w:r>
      <w:r w:rsidR="00C509C9">
        <w:rPr>
          <w:sz w:val="28"/>
          <w:szCs w:val="28"/>
          <w:lang w:val="nl-NL"/>
        </w:rPr>
        <w:t xml:space="preserve"> </w:t>
      </w:r>
      <w:r>
        <w:rPr>
          <w:sz w:val="28"/>
          <w:szCs w:val="28"/>
          <w:lang w:val="nl-NL"/>
        </w:rPr>
        <w:t>22</w:t>
      </w:r>
      <w:r w:rsidR="00C509C9">
        <w:rPr>
          <w:sz w:val="28"/>
          <w:szCs w:val="28"/>
          <w:lang w:val="nl-NL"/>
        </w:rPr>
        <w:t xml:space="preserve"> </w:t>
      </w:r>
      <w:r w:rsidR="004D6889">
        <w:rPr>
          <w:sz w:val="28"/>
          <w:szCs w:val="28"/>
          <w:lang w:val="nl-NL"/>
        </w:rPr>
        <w:t>tháng</w:t>
      </w:r>
      <w:r>
        <w:rPr>
          <w:sz w:val="28"/>
          <w:szCs w:val="28"/>
          <w:lang w:val="nl-NL"/>
        </w:rPr>
        <w:t xml:space="preserve"> 02</w:t>
      </w:r>
      <w:r w:rsidR="00C509C9">
        <w:rPr>
          <w:sz w:val="28"/>
          <w:szCs w:val="28"/>
          <w:lang w:val="nl-NL"/>
        </w:rPr>
        <w:t xml:space="preserve"> </w:t>
      </w:r>
      <w:r w:rsidR="00F01C72">
        <w:rPr>
          <w:sz w:val="28"/>
          <w:szCs w:val="28"/>
          <w:lang w:val="nl-NL"/>
        </w:rPr>
        <w:t xml:space="preserve"> </w:t>
      </w:r>
      <w:r w:rsidR="004D6889">
        <w:rPr>
          <w:sz w:val="28"/>
          <w:szCs w:val="28"/>
          <w:lang w:val="nl-NL"/>
        </w:rPr>
        <w:t>năm 201</w:t>
      </w:r>
      <w:r>
        <w:rPr>
          <w:sz w:val="28"/>
          <w:szCs w:val="28"/>
          <w:lang w:val="nl-NL"/>
        </w:rPr>
        <w:t>9, bãi bỏ Điểm a, Khoản 1, Điều 7 và Điều 8 Quy định kèm theo Quyết định</w:t>
      </w:r>
      <w:r w:rsidR="00236590">
        <w:rPr>
          <w:sz w:val="28"/>
          <w:szCs w:val="28"/>
          <w:lang w:val="nl-NL"/>
        </w:rPr>
        <w:t xml:space="preserve"> số  </w:t>
      </w:r>
      <w:r w:rsidR="00236590">
        <w:rPr>
          <w:sz w:val="28"/>
          <w:szCs w:val="28"/>
          <w:lang w:val="nl-NL"/>
        </w:rPr>
        <w:lastRenderedPageBreak/>
        <w:t xml:space="preserve">36/2013/QĐ-UBND ngày 13/11/2013 của UBND thành phố </w:t>
      </w:r>
      <w:r>
        <w:rPr>
          <w:sz w:val="28"/>
          <w:szCs w:val="28"/>
          <w:lang w:val="nl-NL"/>
        </w:rPr>
        <w:t xml:space="preserve"> </w:t>
      </w:r>
      <w:r w:rsidR="00236590">
        <w:rPr>
          <w:sz w:val="28"/>
          <w:szCs w:val="28"/>
          <w:lang w:val="nl-NL"/>
        </w:rPr>
        <w:t>về việc ban hành Quy định Chính sách ưu đãi và hỗ trợ đầu tư vào Khu công nghệ cao Đà Nẵng.</w:t>
      </w:r>
    </w:p>
    <w:p w:rsidR="00236590" w:rsidRPr="000B0D37" w:rsidRDefault="00236590" w:rsidP="00945CC2">
      <w:pPr>
        <w:spacing w:after="120"/>
        <w:jc w:val="both"/>
        <w:rPr>
          <w:sz w:val="28"/>
          <w:szCs w:val="28"/>
          <w:lang w:val="nl-NL"/>
        </w:rPr>
      </w:pPr>
    </w:p>
    <w:p w:rsidR="00CD25A8" w:rsidRDefault="00945CC2" w:rsidP="00945CC2">
      <w:pPr>
        <w:tabs>
          <w:tab w:val="left" w:pos="709"/>
          <w:tab w:val="left" w:pos="5812"/>
        </w:tabs>
        <w:spacing w:before="100"/>
        <w:jc w:val="both"/>
        <w:rPr>
          <w:sz w:val="28"/>
          <w:szCs w:val="28"/>
          <w:lang w:val="pt-BR"/>
        </w:rPr>
      </w:pPr>
      <w:r>
        <w:rPr>
          <w:b/>
          <w:sz w:val="28"/>
          <w:szCs w:val="28"/>
          <w:lang w:val="pt-BR"/>
        </w:rPr>
        <w:t xml:space="preserve">      </w:t>
      </w:r>
      <w:r w:rsidR="00236590">
        <w:rPr>
          <w:b/>
          <w:sz w:val="28"/>
          <w:szCs w:val="28"/>
          <w:lang w:val="pt-BR"/>
        </w:rPr>
        <w:t xml:space="preserve">      Điều 6</w:t>
      </w:r>
      <w:r w:rsidR="00CD25A8" w:rsidRPr="00917E85">
        <w:rPr>
          <w:b/>
          <w:sz w:val="28"/>
          <w:szCs w:val="28"/>
          <w:lang w:val="pt-BR"/>
        </w:rPr>
        <w:t xml:space="preserve">. </w:t>
      </w:r>
      <w:r w:rsidR="00CD25A8" w:rsidRPr="00CD55CA">
        <w:rPr>
          <w:sz w:val="28"/>
          <w:szCs w:val="28"/>
          <w:lang w:val="pt-BR"/>
        </w:rPr>
        <w:t>Chánh Văn phòng UBND thành phố</w:t>
      </w:r>
      <w:r w:rsidR="00CD25A8">
        <w:rPr>
          <w:sz w:val="28"/>
          <w:szCs w:val="28"/>
          <w:lang w:val="pt-BR"/>
        </w:rPr>
        <w:t xml:space="preserve">; Giám đốc </w:t>
      </w:r>
      <w:r w:rsidR="00236590">
        <w:rPr>
          <w:sz w:val="28"/>
          <w:szCs w:val="28"/>
          <w:lang w:val="pt-BR"/>
        </w:rPr>
        <w:t xml:space="preserve">các Sở: Tài chính, Kế hoạch và Đầu tư, Tài nguyên và Môi trường, Xây dựng; Cục trưởng Cục Thuế; Giám đốc Kho bạc Nhà nước; Trưởng ban Ban </w:t>
      </w:r>
      <w:r w:rsidR="00236590">
        <w:rPr>
          <w:sz w:val="28"/>
          <w:szCs w:val="28"/>
          <w:lang w:val="nl-NL"/>
        </w:rPr>
        <w:t>quản lý Khu công nghệ cao và các khu công nghiệp Đà nẵng</w:t>
      </w:r>
      <w:r>
        <w:rPr>
          <w:sz w:val="28"/>
          <w:szCs w:val="28"/>
          <w:lang w:val="pt-BR"/>
        </w:rPr>
        <w:t xml:space="preserve">; </w:t>
      </w:r>
      <w:r w:rsidR="000B0D37">
        <w:rPr>
          <w:sz w:val="28"/>
          <w:szCs w:val="28"/>
          <w:lang w:val="pt-BR"/>
        </w:rPr>
        <w:t>Chủ tịch UBND</w:t>
      </w:r>
      <w:r w:rsidR="00236590">
        <w:rPr>
          <w:sz w:val="28"/>
          <w:szCs w:val="28"/>
          <w:lang w:val="pt-BR"/>
        </w:rPr>
        <w:t xml:space="preserve"> huyện Hòa Vang;</w:t>
      </w:r>
      <w:r w:rsidR="000B0D37">
        <w:rPr>
          <w:sz w:val="28"/>
          <w:szCs w:val="28"/>
          <w:lang w:val="pt-BR"/>
        </w:rPr>
        <w:t xml:space="preserve"> </w:t>
      </w:r>
      <w:r>
        <w:rPr>
          <w:sz w:val="28"/>
          <w:szCs w:val="28"/>
          <w:lang w:val="pt-BR"/>
        </w:rPr>
        <w:t>Thủ trưởng các cơ quan,</w:t>
      </w:r>
      <w:r w:rsidR="000B0D37">
        <w:rPr>
          <w:sz w:val="28"/>
          <w:szCs w:val="28"/>
          <w:lang w:val="pt-BR"/>
        </w:rPr>
        <w:t xml:space="preserve"> </w:t>
      </w:r>
      <w:r w:rsidR="00CD25A8" w:rsidRPr="00CD55CA">
        <w:rPr>
          <w:sz w:val="28"/>
          <w:szCs w:val="28"/>
          <w:lang w:val="pt-BR"/>
        </w:rPr>
        <w:t>đơn vị và cá</w:t>
      </w:r>
      <w:r>
        <w:rPr>
          <w:sz w:val="28"/>
          <w:szCs w:val="28"/>
          <w:lang w:val="pt-BR"/>
        </w:rPr>
        <w:t>c tổ chức, cá</w:t>
      </w:r>
      <w:r w:rsidR="00CD25A8" w:rsidRPr="00CD55CA">
        <w:rPr>
          <w:sz w:val="28"/>
          <w:szCs w:val="28"/>
          <w:lang w:val="pt-BR"/>
        </w:rPr>
        <w:t xml:space="preserve"> nhân có liên quan</w:t>
      </w:r>
      <w:r>
        <w:rPr>
          <w:sz w:val="28"/>
          <w:szCs w:val="28"/>
          <w:lang w:val="pt-BR"/>
        </w:rPr>
        <w:t xml:space="preserve"> chịu trách nhiệm</w:t>
      </w:r>
      <w:r w:rsidR="00CD25A8"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00CD25A8" w:rsidRPr="00CD55CA">
        <w:rPr>
          <w:sz w:val="28"/>
          <w:szCs w:val="28"/>
          <w:lang w:val="pt-BR"/>
        </w:rPr>
        <w:t>./.</w:t>
      </w:r>
    </w:p>
    <w:p w:rsidR="00CD25A8" w:rsidRPr="000A1CB4" w:rsidRDefault="00CD25A8" w:rsidP="000C2410">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0A1CB4">
        <w:rPr>
          <w:rFonts w:ascii="Times New Roman" w:hAnsi="Times New Roman"/>
          <w:szCs w:val="28"/>
          <w:lang w:val="pt-BR"/>
        </w:rPr>
        <w:t>TM. ỦY BAN NHÂN DÂN</w:t>
      </w:r>
      <w:r w:rsidRPr="000A1CB4">
        <w:rPr>
          <w:rFonts w:ascii="Times New Roman" w:hAnsi="Times New Roman"/>
          <w:szCs w:val="28"/>
          <w:lang w:val="pt-BR"/>
        </w:rPr>
        <w:t xml:space="preserve">                                                              </w:t>
      </w:r>
    </w:p>
    <w:p w:rsidR="000B0D37" w:rsidRPr="000A1CB4" w:rsidRDefault="000B0D37" w:rsidP="000C2410">
      <w:pPr>
        <w:ind w:left="-284" w:firstLine="284"/>
        <w:rPr>
          <w:b/>
          <w:sz w:val="28"/>
          <w:szCs w:val="28"/>
          <w:lang w:val="pt-BR"/>
        </w:rPr>
      </w:pPr>
      <w:r w:rsidRPr="000A1CB4">
        <w:rPr>
          <w:sz w:val="28"/>
          <w:szCs w:val="28"/>
          <w:lang w:val="pt-BR"/>
        </w:rPr>
        <w:t xml:space="preserve">                                                                         </w:t>
      </w:r>
      <w:r w:rsidR="00945CC2" w:rsidRPr="000A1CB4">
        <w:rPr>
          <w:sz w:val="28"/>
          <w:szCs w:val="28"/>
          <w:lang w:val="pt-BR"/>
        </w:rPr>
        <w:t xml:space="preserve">                    </w:t>
      </w:r>
      <w:r w:rsidR="00E648B0" w:rsidRPr="000A1CB4">
        <w:rPr>
          <w:sz w:val="28"/>
          <w:szCs w:val="28"/>
          <w:lang w:val="pt-BR"/>
        </w:rPr>
        <w:t xml:space="preserve">  </w:t>
      </w:r>
      <w:r w:rsidR="000A1CB4">
        <w:rPr>
          <w:sz w:val="28"/>
          <w:szCs w:val="28"/>
          <w:lang w:val="pt-BR"/>
        </w:rPr>
        <w:t xml:space="preserve">  </w:t>
      </w:r>
      <w:r w:rsidRPr="000A1CB4">
        <w:rPr>
          <w:b/>
          <w:sz w:val="28"/>
          <w:szCs w:val="28"/>
          <w:lang w:val="pt-BR"/>
        </w:rPr>
        <w:t>CHỦ TỊCH</w:t>
      </w:r>
    </w:p>
    <w:p w:rsidR="00E648B0" w:rsidRPr="00236590" w:rsidRDefault="00E648B0" w:rsidP="000C2410">
      <w:pPr>
        <w:tabs>
          <w:tab w:val="left" w:pos="6511"/>
        </w:tabs>
        <w:ind w:left="-284" w:firstLine="284"/>
        <w:rPr>
          <w:b/>
          <w:sz w:val="28"/>
          <w:szCs w:val="28"/>
          <w:lang w:val="pt-BR"/>
        </w:rPr>
      </w:pPr>
      <w:r>
        <w:rPr>
          <w:sz w:val="22"/>
          <w:szCs w:val="22"/>
          <w:lang w:val="pt-BR"/>
        </w:rPr>
        <w:tab/>
      </w:r>
      <w:r w:rsidR="00236590" w:rsidRPr="00236590">
        <w:rPr>
          <w:b/>
          <w:sz w:val="28"/>
          <w:szCs w:val="28"/>
          <w:lang w:val="pt-BR"/>
        </w:rPr>
        <w:t>Huỳnh Đức Thơ</w:t>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49" w:rsidRDefault="00A46649">
      <w:r>
        <w:separator/>
      </w:r>
    </w:p>
  </w:endnote>
  <w:endnote w:type="continuationSeparator" w:id="0">
    <w:p w:rsidR="00A46649" w:rsidRDefault="00A4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sidR="007A2264">
      <w:rPr>
        <w:rStyle w:val="PageNumber"/>
      </w:rPr>
      <w:t xml:space="preserve">                             </w:t>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49" w:rsidRDefault="00A46649">
      <w:r>
        <w:separator/>
      </w:r>
    </w:p>
  </w:footnote>
  <w:footnote w:type="continuationSeparator" w:id="0">
    <w:p w:rsidR="00A46649" w:rsidRDefault="00A46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0E81085"/>
    <w:multiLevelType w:val="hybridMultilevel"/>
    <w:tmpl w:val="0AEC72BE"/>
    <w:lvl w:ilvl="0" w:tplc="808AA82C">
      <w:start w:val="1"/>
      <w:numFmt w:val="decimal"/>
      <w:lvlText w:val="%1."/>
      <w:lvlJc w:val="left"/>
      <w:pPr>
        <w:ind w:left="1635"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723FA2"/>
    <w:multiLevelType w:val="hybridMultilevel"/>
    <w:tmpl w:val="81C84D82"/>
    <w:lvl w:ilvl="0" w:tplc="2B42039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2"/>
  </w:num>
  <w:num w:numId="4">
    <w:abstractNumId w:val="7"/>
  </w:num>
  <w:num w:numId="5">
    <w:abstractNumId w:val="1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0"/>
  </w:num>
  <w:num w:numId="10">
    <w:abstractNumId w:val="0"/>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1CB4"/>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26180"/>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1E8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36590"/>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45B4"/>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09"/>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2264"/>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044F"/>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649"/>
    <w:rsid w:val="00A46B4B"/>
    <w:rsid w:val="00A54759"/>
    <w:rsid w:val="00A62081"/>
    <w:rsid w:val="00A62F0B"/>
    <w:rsid w:val="00A6633F"/>
    <w:rsid w:val="00A704CF"/>
    <w:rsid w:val="00A70A01"/>
    <w:rsid w:val="00A71E33"/>
    <w:rsid w:val="00A73BE4"/>
    <w:rsid w:val="00A73E43"/>
    <w:rsid w:val="00A80584"/>
    <w:rsid w:val="00A83E75"/>
    <w:rsid w:val="00A859D5"/>
    <w:rsid w:val="00A90826"/>
    <w:rsid w:val="00A97E01"/>
    <w:rsid w:val="00AA0A59"/>
    <w:rsid w:val="00AA3182"/>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1B5"/>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1B1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CF68E0"/>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5A5E"/>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2C4F"/>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047FFE9-B7A2-47F8-A588-C47E3A0F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2021-04-13T02:30:00Z</dcterms:created>
  <dcterms:modified xsi:type="dcterms:W3CDTF">2021-04-13T02:30:00Z</dcterms:modified>
</cp:coreProperties>
</file>