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7DBC" w:rsidRPr="0007734F" w:rsidRDefault="003B7DBC" w:rsidP="0085345A">
      <w:pPr>
        <w:spacing w:after="120" w:line="240" w:lineRule="auto"/>
        <w:jc w:val="center"/>
        <w:rPr>
          <w:b/>
          <w:sz w:val="26"/>
          <w:szCs w:val="26"/>
        </w:rPr>
      </w:pPr>
      <w:bookmarkStart w:id="0" w:name="_GoBack"/>
      <w:bookmarkEnd w:id="0"/>
      <w:r w:rsidRPr="0007734F">
        <w:rPr>
          <w:b/>
          <w:sz w:val="26"/>
          <w:szCs w:val="26"/>
        </w:rPr>
        <w:t>Phụ lục I</w:t>
      </w:r>
    </w:p>
    <w:p w:rsidR="003B7DBC" w:rsidRPr="0007734F" w:rsidRDefault="003B7DBC" w:rsidP="0085345A">
      <w:pPr>
        <w:spacing w:after="0" w:line="240" w:lineRule="auto"/>
        <w:jc w:val="center"/>
        <w:rPr>
          <w:rFonts w:eastAsia="Times New Roman"/>
          <w:b/>
          <w:bCs/>
          <w:sz w:val="26"/>
          <w:szCs w:val="26"/>
        </w:rPr>
      </w:pPr>
      <w:r w:rsidRPr="0007734F">
        <w:rPr>
          <w:rFonts w:eastAsia="Times New Roman"/>
          <w:b/>
          <w:bCs/>
          <w:sz w:val="26"/>
          <w:szCs w:val="26"/>
        </w:rPr>
        <w:t xml:space="preserve">ĐỐI TƯỢNG VÀ MỨC QUÀ TẶNG TẾT NGUYÊN ĐÁN </w:t>
      </w:r>
      <w:r w:rsidR="00C41A03" w:rsidRPr="0007734F">
        <w:rPr>
          <w:rFonts w:eastAsia="Times New Roman"/>
          <w:b/>
          <w:bCs/>
          <w:sz w:val="26"/>
          <w:szCs w:val="26"/>
        </w:rPr>
        <w:t>HÀNG NĂM</w:t>
      </w:r>
      <w:r w:rsidRPr="0007734F">
        <w:rPr>
          <w:rFonts w:eastAsia="Times New Roman"/>
          <w:b/>
          <w:bCs/>
          <w:sz w:val="26"/>
          <w:szCs w:val="26"/>
        </w:rPr>
        <w:br/>
        <w:t>ĐỐI VỚI NGƯỜI CÓ CÔNG VỚI CÁCH MẠNG</w:t>
      </w:r>
      <w:r w:rsidR="00C41A03" w:rsidRPr="0007734F">
        <w:rPr>
          <w:rFonts w:eastAsia="Times New Roman"/>
          <w:b/>
          <w:bCs/>
          <w:sz w:val="26"/>
          <w:szCs w:val="26"/>
        </w:rPr>
        <w:t xml:space="preserve"> VÀ ĐỐI TƯỢNG ĐẶC THÙ</w:t>
      </w:r>
    </w:p>
    <w:p w:rsidR="00D03988" w:rsidRPr="0007734F" w:rsidRDefault="003B7DBC" w:rsidP="0085345A">
      <w:pPr>
        <w:spacing w:after="0" w:line="240" w:lineRule="auto"/>
        <w:jc w:val="center"/>
        <w:rPr>
          <w:rFonts w:eastAsia="Times New Roman"/>
          <w:i/>
          <w:iCs/>
          <w:sz w:val="26"/>
          <w:szCs w:val="26"/>
        </w:rPr>
      </w:pPr>
      <w:r w:rsidRPr="0007734F">
        <w:rPr>
          <w:rFonts w:eastAsia="Times New Roman"/>
          <w:i/>
          <w:iCs/>
          <w:sz w:val="26"/>
          <w:szCs w:val="26"/>
        </w:rPr>
        <w:t>(Ban hành kèm theo Nghị quyết số</w:t>
      </w:r>
      <w:r w:rsidR="00BF582B">
        <w:rPr>
          <w:rFonts w:eastAsia="Times New Roman"/>
          <w:i/>
          <w:iCs/>
          <w:sz w:val="26"/>
          <w:szCs w:val="26"/>
        </w:rPr>
        <w:t xml:space="preserve"> 275 </w:t>
      </w:r>
      <w:r w:rsidRPr="0007734F">
        <w:rPr>
          <w:rFonts w:eastAsia="Times New Roman"/>
          <w:i/>
          <w:iCs/>
          <w:sz w:val="26"/>
          <w:szCs w:val="26"/>
        </w:rPr>
        <w:t xml:space="preserve">/2019/NQ-HĐND </w:t>
      </w:r>
    </w:p>
    <w:p w:rsidR="003B7DBC" w:rsidRPr="0007734F" w:rsidRDefault="00794DDA" w:rsidP="0058508C">
      <w:pPr>
        <w:spacing w:after="0" w:line="240" w:lineRule="auto"/>
        <w:jc w:val="center"/>
        <w:rPr>
          <w:b/>
          <w:sz w:val="26"/>
          <w:szCs w:val="26"/>
        </w:rPr>
      </w:pPr>
      <w:r w:rsidRPr="0007734F">
        <w:rPr>
          <w:rFonts w:eastAsia="Times New Roman"/>
          <w:i/>
          <w:iCs/>
          <w:sz w:val="26"/>
          <w:szCs w:val="26"/>
        </w:rPr>
        <w:t>N</w:t>
      </w:r>
      <w:r w:rsidR="003B7DBC" w:rsidRPr="0007734F">
        <w:rPr>
          <w:rFonts w:eastAsia="Times New Roman"/>
          <w:i/>
          <w:iCs/>
          <w:sz w:val="26"/>
          <w:szCs w:val="26"/>
        </w:rPr>
        <w:t>gày</w:t>
      </w:r>
      <w:r>
        <w:rPr>
          <w:rFonts w:eastAsia="Times New Roman"/>
          <w:i/>
          <w:iCs/>
          <w:sz w:val="26"/>
          <w:szCs w:val="26"/>
        </w:rPr>
        <w:t xml:space="preserve"> 12</w:t>
      </w:r>
      <w:r w:rsidR="00B27BD0" w:rsidRPr="0007734F">
        <w:rPr>
          <w:rFonts w:eastAsia="Times New Roman"/>
          <w:i/>
          <w:iCs/>
          <w:sz w:val="26"/>
          <w:szCs w:val="26"/>
        </w:rPr>
        <w:t xml:space="preserve"> t</w:t>
      </w:r>
      <w:r w:rsidR="003B7DBC" w:rsidRPr="0007734F">
        <w:rPr>
          <w:rFonts w:eastAsia="Times New Roman"/>
          <w:i/>
          <w:iCs/>
          <w:sz w:val="26"/>
          <w:szCs w:val="26"/>
        </w:rPr>
        <w:t>háng</w:t>
      </w:r>
      <w:r w:rsidR="00174A8B" w:rsidRPr="0007734F">
        <w:rPr>
          <w:rFonts w:eastAsia="Times New Roman"/>
          <w:i/>
          <w:iCs/>
          <w:sz w:val="26"/>
          <w:szCs w:val="26"/>
        </w:rPr>
        <w:t xml:space="preserve"> </w:t>
      </w:r>
      <w:r w:rsidR="00B27BD0" w:rsidRPr="0007734F">
        <w:rPr>
          <w:rFonts w:eastAsia="Times New Roman"/>
          <w:i/>
          <w:iCs/>
          <w:sz w:val="26"/>
          <w:szCs w:val="26"/>
        </w:rPr>
        <w:t xml:space="preserve">12 </w:t>
      </w:r>
      <w:r w:rsidR="003B7DBC" w:rsidRPr="0007734F">
        <w:rPr>
          <w:rFonts w:eastAsia="Times New Roman"/>
          <w:i/>
          <w:iCs/>
          <w:sz w:val="26"/>
          <w:szCs w:val="26"/>
        </w:rPr>
        <w:t>năm 2019 của Hội đồng nhân dân thành phố Đà Nẵng)</w:t>
      </w:r>
    </w:p>
    <w:tbl>
      <w:tblPr>
        <w:tblpPr w:leftFromText="180" w:rightFromText="180" w:vertAnchor="text" w:horzAnchor="margin" w:tblpXSpec="center" w:tblpY="308"/>
        <w:tblW w:w="10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1"/>
        <w:gridCol w:w="5177"/>
        <w:gridCol w:w="2410"/>
        <w:gridCol w:w="992"/>
        <w:gridCol w:w="1094"/>
      </w:tblGrid>
      <w:tr w:rsidR="00B27BD0" w:rsidRPr="0007734F" w:rsidTr="000E2717">
        <w:trPr>
          <w:trHeight w:val="420"/>
        </w:trPr>
        <w:tc>
          <w:tcPr>
            <w:tcW w:w="601" w:type="dxa"/>
            <w:vMerge w:val="restart"/>
            <w:shd w:val="clear" w:color="auto" w:fill="auto"/>
            <w:vAlign w:val="center"/>
            <w:hideMark/>
          </w:tcPr>
          <w:p w:rsidR="003B7DBC" w:rsidRPr="0007734F" w:rsidRDefault="003B7DBC" w:rsidP="00FA4B15">
            <w:pPr>
              <w:spacing w:before="60" w:after="0" w:line="240" w:lineRule="auto"/>
              <w:jc w:val="center"/>
              <w:rPr>
                <w:rFonts w:eastAsia="Times New Roman"/>
                <w:b/>
                <w:bCs/>
                <w:sz w:val="26"/>
                <w:szCs w:val="26"/>
              </w:rPr>
            </w:pPr>
            <w:r w:rsidRPr="0007734F">
              <w:rPr>
                <w:rFonts w:eastAsia="Times New Roman"/>
                <w:b/>
                <w:bCs/>
                <w:sz w:val="26"/>
                <w:szCs w:val="26"/>
              </w:rPr>
              <w:t>TT</w:t>
            </w:r>
          </w:p>
        </w:tc>
        <w:tc>
          <w:tcPr>
            <w:tcW w:w="5177" w:type="dxa"/>
            <w:vMerge w:val="restart"/>
            <w:shd w:val="clear" w:color="auto" w:fill="auto"/>
            <w:vAlign w:val="center"/>
            <w:hideMark/>
          </w:tcPr>
          <w:p w:rsidR="003B7DBC" w:rsidRPr="0007734F" w:rsidRDefault="00F81738" w:rsidP="00FA4B15">
            <w:pPr>
              <w:spacing w:before="60" w:after="0" w:line="240" w:lineRule="auto"/>
              <w:jc w:val="center"/>
              <w:rPr>
                <w:rFonts w:eastAsia="Times New Roman"/>
                <w:b/>
                <w:bCs/>
                <w:sz w:val="26"/>
                <w:szCs w:val="26"/>
              </w:rPr>
            </w:pPr>
            <w:r w:rsidRPr="0007734F">
              <w:rPr>
                <w:rFonts w:eastAsia="Times New Roman"/>
                <w:b/>
                <w:bCs/>
                <w:sz w:val="26"/>
                <w:szCs w:val="26"/>
              </w:rPr>
              <w:t>Đối tượng</w:t>
            </w:r>
          </w:p>
        </w:tc>
        <w:tc>
          <w:tcPr>
            <w:tcW w:w="2410" w:type="dxa"/>
            <w:vMerge w:val="restart"/>
            <w:shd w:val="clear" w:color="auto" w:fill="auto"/>
            <w:vAlign w:val="center"/>
            <w:hideMark/>
          </w:tcPr>
          <w:p w:rsidR="003B7DBC" w:rsidRPr="0007734F" w:rsidRDefault="003B7DBC" w:rsidP="00FA4B15">
            <w:pPr>
              <w:spacing w:before="60" w:after="0" w:line="240" w:lineRule="auto"/>
              <w:jc w:val="center"/>
              <w:rPr>
                <w:rFonts w:eastAsia="Times New Roman"/>
                <w:b/>
                <w:bCs/>
                <w:sz w:val="26"/>
                <w:szCs w:val="26"/>
              </w:rPr>
            </w:pPr>
            <w:r w:rsidRPr="0007734F">
              <w:rPr>
                <w:rFonts w:eastAsia="Times New Roman"/>
                <w:b/>
                <w:bCs/>
                <w:sz w:val="26"/>
                <w:szCs w:val="26"/>
              </w:rPr>
              <w:t>ĐVT</w:t>
            </w:r>
          </w:p>
        </w:tc>
        <w:tc>
          <w:tcPr>
            <w:tcW w:w="2086" w:type="dxa"/>
            <w:gridSpan w:val="2"/>
            <w:shd w:val="clear" w:color="auto" w:fill="auto"/>
            <w:noWrap/>
            <w:vAlign w:val="bottom"/>
            <w:hideMark/>
          </w:tcPr>
          <w:p w:rsidR="003B7DBC" w:rsidRPr="0007734F" w:rsidRDefault="003B7DBC" w:rsidP="00FA4B15">
            <w:pPr>
              <w:spacing w:before="60" w:after="0" w:line="240" w:lineRule="auto"/>
              <w:jc w:val="center"/>
              <w:rPr>
                <w:rFonts w:eastAsia="Times New Roman"/>
                <w:b/>
                <w:bCs/>
                <w:sz w:val="26"/>
                <w:szCs w:val="26"/>
              </w:rPr>
            </w:pPr>
            <w:r w:rsidRPr="0007734F">
              <w:rPr>
                <w:rFonts w:eastAsia="Times New Roman"/>
                <w:b/>
                <w:bCs/>
                <w:sz w:val="26"/>
                <w:szCs w:val="26"/>
              </w:rPr>
              <w:t xml:space="preserve">Mức quà </w:t>
            </w:r>
          </w:p>
        </w:tc>
      </w:tr>
      <w:tr w:rsidR="00B27BD0" w:rsidRPr="0007734F" w:rsidTr="000E2717">
        <w:trPr>
          <w:trHeight w:val="382"/>
        </w:trPr>
        <w:tc>
          <w:tcPr>
            <w:tcW w:w="601"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5177"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2410"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992" w:type="dxa"/>
            <w:vMerge w:val="restart"/>
            <w:shd w:val="clear" w:color="auto" w:fill="auto"/>
            <w:vAlign w:val="center"/>
            <w:hideMark/>
          </w:tcPr>
          <w:p w:rsidR="003B7DBC" w:rsidRPr="0007734F" w:rsidRDefault="003B7DBC" w:rsidP="00FA4B15">
            <w:pPr>
              <w:spacing w:before="60" w:after="0" w:line="240" w:lineRule="auto"/>
              <w:jc w:val="center"/>
              <w:rPr>
                <w:rFonts w:eastAsia="Times New Roman"/>
                <w:b/>
                <w:bCs/>
                <w:sz w:val="26"/>
                <w:szCs w:val="26"/>
              </w:rPr>
            </w:pPr>
            <w:r w:rsidRPr="0007734F">
              <w:rPr>
                <w:rFonts w:eastAsia="Times New Roman"/>
                <w:b/>
                <w:bCs/>
                <w:sz w:val="26"/>
                <w:szCs w:val="26"/>
              </w:rPr>
              <w:t>Tiền</w:t>
            </w:r>
            <w:r w:rsidRPr="0007734F">
              <w:rPr>
                <w:rFonts w:eastAsia="Times New Roman"/>
                <w:b/>
                <w:bCs/>
                <w:sz w:val="26"/>
                <w:szCs w:val="26"/>
              </w:rPr>
              <w:br/>
              <w:t>mặt</w:t>
            </w:r>
          </w:p>
        </w:tc>
        <w:tc>
          <w:tcPr>
            <w:tcW w:w="1094" w:type="dxa"/>
            <w:vMerge w:val="restart"/>
            <w:shd w:val="clear" w:color="auto" w:fill="auto"/>
            <w:vAlign w:val="center"/>
            <w:hideMark/>
          </w:tcPr>
          <w:p w:rsidR="003B7DBC" w:rsidRPr="0007734F" w:rsidRDefault="003B7DBC" w:rsidP="00FA4B15">
            <w:pPr>
              <w:spacing w:before="60" w:after="0" w:line="240" w:lineRule="auto"/>
              <w:jc w:val="center"/>
              <w:rPr>
                <w:rFonts w:eastAsia="Times New Roman"/>
                <w:b/>
                <w:bCs/>
                <w:sz w:val="26"/>
                <w:szCs w:val="26"/>
              </w:rPr>
            </w:pPr>
            <w:r w:rsidRPr="0007734F">
              <w:rPr>
                <w:rFonts w:eastAsia="Times New Roman"/>
                <w:b/>
                <w:bCs/>
                <w:sz w:val="26"/>
                <w:szCs w:val="26"/>
              </w:rPr>
              <w:t>Hiện</w:t>
            </w:r>
            <w:r w:rsidRPr="0007734F">
              <w:rPr>
                <w:rFonts w:eastAsia="Times New Roman"/>
                <w:b/>
                <w:bCs/>
                <w:sz w:val="26"/>
                <w:szCs w:val="26"/>
              </w:rPr>
              <w:br/>
              <w:t xml:space="preserve"> vật</w:t>
            </w:r>
          </w:p>
        </w:tc>
      </w:tr>
      <w:tr w:rsidR="00B27BD0" w:rsidRPr="0007734F" w:rsidTr="000E2717">
        <w:trPr>
          <w:trHeight w:val="382"/>
        </w:trPr>
        <w:tc>
          <w:tcPr>
            <w:tcW w:w="601"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5177"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2410"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992"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1094" w:type="dxa"/>
            <w:vMerge/>
            <w:vAlign w:val="center"/>
            <w:hideMark/>
          </w:tcPr>
          <w:p w:rsidR="003B7DBC" w:rsidRPr="0007734F" w:rsidRDefault="003B7DBC" w:rsidP="00FA4B15">
            <w:pPr>
              <w:spacing w:before="60" w:after="0" w:line="240" w:lineRule="auto"/>
              <w:rPr>
                <w:rFonts w:eastAsia="Times New Roman"/>
                <w:b/>
                <w:bCs/>
                <w:sz w:val="26"/>
                <w:szCs w:val="26"/>
              </w:rPr>
            </w:pPr>
          </w:p>
        </w:tc>
      </w:tr>
      <w:tr w:rsidR="00B27BD0" w:rsidRPr="0007734F" w:rsidTr="000E2717">
        <w:trPr>
          <w:trHeight w:val="382"/>
        </w:trPr>
        <w:tc>
          <w:tcPr>
            <w:tcW w:w="601"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5177"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2410"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992" w:type="dxa"/>
            <w:vMerge/>
            <w:vAlign w:val="center"/>
            <w:hideMark/>
          </w:tcPr>
          <w:p w:rsidR="003B7DBC" w:rsidRPr="0007734F" w:rsidRDefault="003B7DBC" w:rsidP="00FA4B15">
            <w:pPr>
              <w:spacing w:before="60" w:after="0" w:line="240" w:lineRule="auto"/>
              <w:rPr>
                <w:rFonts w:eastAsia="Times New Roman"/>
                <w:b/>
                <w:bCs/>
                <w:sz w:val="26"/>
                <w:szCs w:val="26"/>
              </w:rPr>
            </w:pPr>
          </w:p>
        </w:tc>
        <w:tc>
          <w:tcPr>
            <w:tcW w:w="1094" w:type="dxa"/>
            <w:vMerge/>
            <w:vAlign w:val="center"/>
            <w:hideMark/>
          </w:tcPr>
          <w:p w:rsidR="003B7DBC" w:rsidRPr="0007734F" w:rsidRDefault="003B7DBC" w:rsidP="00FA4B15">
            <w:pPr>
              <w:spacing w:before="60" w:after="0" w:line="240" w:lineRule="auto"/>
              <w:rPr>
                <w:rFonts w:eastAsia="Times New Roman"/>
                <w:b/>
                <w:bCs/>
                <w:sz w:val="26"/>
                <w:szCs w:val="26"/>
              </w:rPr>
            </w:pPr>
          </w:p>
        </w:tc>
      </w:tr>
      <w:tr w:rsidR="00B27BD0" w:rsidRPr="0007734F" w:rsidTr="000E2717">
        <w:trPr>
          <w:trHeight w:val="535"/>
        </w:trPr>
        <w:tc>
          <w:tcPr>
            <w:tcW w:w="601" w:type="dxa"/>
            <w:shd w:val="clear" w:color="auto" w:fill="auto"/>
            <w:noWrap/>
            <w:vAlign w:val="center"/>
            <w:hideMark/>
          </w:tcPr>
          <w:p w:rsidR="00C1208A" w:rsidRPr="0007734F" w:rsidRDefault="00C1208A" w:rsidP="00FA4B15">
            <w:pPr>
              <w:spacing w:before="60" w:after="0" w:line="240" w:lineRule="auto"/>
              <w:jc w:val="center"/>
              <w:rPr>
                <w:rFonts w:eastAsia="Times New Roman"/>
                <w:b/>
                <w:sz w:val="26"/>
                <w:szCs w:val="26"/>
              </w:rPr>
            </w:pPr>
            <w:r w:rsidRPr="0007734F">
              <w:rPr>
                <w:rFonts w:eastAsia="Times New Roman"/>
                <w:b/>
                <w:sz w:val="26"/>
                <w:szCs w:val="26"/>
              </w:rPr>
              <w:t>I</w:t>
            </w:r>
          </w:p>
        </w:tc>
        <w:tc>
          <w:tcPr>
            <w:tcW w:w="5177" w:type="dxa"/>
            <w:shd w:val="clear" w:color="auto" w:fill="auto"/>
            <w:vAlign w:val="center"/>
            <w:hideMark/>
          </w:tcPr>
          <w:p w:rsidR="00C1208A" w:rsidRPr="0007734F" w:rsidRDefault="00C1208A" w:rsidP="00FA4B15">
            <w:pPr>
              <w:spacing w:before="60" w:after="0" w:line="240" w:lineRule="auto"/>
              <w:jc w:val="both"/>
              <w:rPr>
                <w:rFonts w:eastAsia="Times New Roman"/>
                <w:b/>
                <w:sz w:val="26"/>
                <w:szCs w:val="26"/>
              </w:rPr>
            </w:pPr>
            <w:r w:rsidRPr="0007734F">
              <w:rPr>
                <w:rFonts w:eastAsia="Times New Roman"/>
                <w:b/>
                <w:sz w:val="26"/>
                <w:szCs w:val="26"/>
              </w:rPr>
              <w:t>NGƯỜI CÓ CÔNG VỚI CÁCH MẠNG</w:t>
            </w:r>
          </w:p>
        </w:tc>
        <w:tc>
          <w:tcPr>
            <w:tcW w:w="2410" w:type="dxa"/>
            <w:shd w:val="clear" w:color="auto" w:fill="auto"/>
            <w:vAlign w:val="center"/>
            <w:hideMark/>
          </w:tcPr>
          <w:p w:rsidR="00C1208A" w:rsidRPr="0007734F" w:rsidRDefault="00C1208A" w:rsidP="00FA4B15">
            <w:pPr>
              <w:spacing w:before="60" w:after="0" w:line="240" w:lineRule="auto"/>
              <w:jc w:val="center"/>
              <w:rPr>
                <w:rFonts w:eastAsia="Times New Roman"/>
                <w:sz w:val="26"/>
                <w:szCs w:val="26"/>
              </w:rPr>
            </w:pPr>
          </w:p>
        </w:tc>
        <w:tc>
          <w:tcPr>
            <w:tcW w:w="992" w:type="dxa"/>
            <w:shd w:val="clear" w:color="auto" w:fill="auto"/>
            <w:noWrap/>
            <w:vAlign w:val="center"/>
            <w:hideMark/>
          </w:tcPr>
          <w:p w:rsidR="00C1208A" w:rsidRPr="0007734F" w:rsidRDefault="00C1208A" w:rsidP="00FA4B15">
            <w:pPr>
              <w:spacing w:before="60" w:after="0" w:line="240" w:lineRule="auto"/>
              <w:jc w:val="right"/>
              <w:rPr>
                <w:rFonts w:eastAsia="Times New Roman"/>
                <w:sz w:val="26"/>
                <w:szCs w:val="26"/>
              </w:rPr>
            </w:pPr>
          </w:p>
        </w:tc>
        <w:tc>
          <w:tcPr>
            <w:tcW w:w="1094" w:type="dxa"/>
            <w:shd w:val="clear" w:color="auto" w:fill="auto"/>
            <w:noWrap/>
            <w:vAlign w:val="center"/>
            <w:hideMark/>
          </w:tcPr>
          <w:p w:rsidR="00C1208A" w:rsidRPr="0007734F" w:rsidRDefault="00C1208A" w:rsidP="00FA4B15">
            <w:pPr>
              <w:spacing w:before="60" w:after="0" w:line="240" w:lineRule="auto"/>
              <w:rPr>
                <w:rFonts w:eastAsia="Times New Roman"/>
                <w:sz w:val="26"/>
                <w:szCs w:val="26"/>
              </w:rPr>
            </w:pPr>
          </w:p>
        </w:tc>
      </w:tr>
      <w:tr w:rsidR="00B27BD0" w:rsidRPr="0007734F" w:rsidTr="000E2717">
        <w:trPr>
          <w:trHeight w:val="1108"/>
        </w:trPr>
        <w:tc>
          <w:tcPr>
            <w:tcW w:w="601" w:type="dxa"/>
            <w:shd w:val="clear" w:color="auto" w:fill="auto"/>
            <w:noWrap/>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1</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Người hoạt động cách mạng trước ngày 01 tháng 01 năm 1945 (Cán bộ Lão thành cách mạng) đang hưởng trợ cấp hàng tháng</w:t>
            </w:r>
            <w:r w:rsidR="009E6B07" w:rsidRPr="0007734F">
              <w:rPr>
                <w:rFonts w:eastAsia="Times New Roman"/>
                <w:sz w:val="26"/>
                <w:szCs w:val="26"/>
              </w:rPr>
              <w:t xml:space="preserve"> </w:t>
            </w:r>
            <w:r w:rsidR="009E6B07" w:rsidRPr="0007734F">
              <w:rPr>
                <w:iCs/>
                <w:sz w:val="26"/>
                <w:szCs w:val="26"/>
                <w:lang w:val="pt-BR"/>
              </w:rPr>
              <w:t>(Trừ các đồng chí là cán bộ</w:t>
            </w:r>
            <w:r w:rsidR="00B5339D" w:rsidRPr="0007734F">
              <w:rPr>
                <w:iCs/>
                <w:sz w:val="26"/>
                <w:szCs w:val="26"/>
                <w:lang w:val="pt-BR"/>
              </w:rPr>
              <w:t xml:space="preserve"> </w:t>
            </w:r>
            <w:r w:rsidR="009E6B07" w:rsidRPr="0007734F">
              <w:rPr>
                <w:iCs/>
                <w:sz w:val="26"/>
                <w:szCs w:val="26"/>
                <w:lang w:val="pt-BR"/>
              </w:rPr>
              <w:t xml:space="preserve">Trung cao cấp </w:t>
            </w:r>
            <w:r w:rsidR="00B5339D" w:rsidRPr="0007734F">
              <w:rPr>
                <w:iCs/>
                <w:sz w:val="26"/>
                <w:szCs w:val="26"/>
                <w:lang w:val="pt-BR"/>
              </w:rPr>
              <w:t xml:space="preserve">nghỉ hưu </w:t>
            </w:r>
            <w:r w:rsidR="009E6B07" w:rsidRPr="0007734F">
              <w:rPr>
                <w:iCs/>
                <w:sz w:val="26"/>
                <w:szCs w:val="26"/>
                <w:lang w:val="pt-BR"/>
              </w:rPr>
              <w:t>được lãnh đạo thành phố trực tiếp đến thăm</w:t>
            </w:r>
            <w:r w:rsidR="00394923" w:rsidRPr="0007734F">
              <w:rPr>
                <w:iCs/>
                <w:sz w:val="26"/>
                <w:szCs w:val="26"/>
                <w:lang w:val="pt-BR"/>
              </w:rPr>
              <w:t>,</w:t>
            </w:r>
            <w:r w:rsidR="009E6B07" w:rsidRPr="0007734F">
              <w:rPr>
                <w:iCs/>
                <w:sz w:val="26"/>
                <w:szCs w:val="26"/>
                <w:lang w:val="pt-BR"/>
              </w:rPr>
              <w:t xml:space="preserve"> tặng quà)</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2.500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2</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Các đồng chí tử tù </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2.500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915"/>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3</w:t>
            </w:r>
          </w:p>
        </w:tc>
        <w:tc>
          <w:tcPr>
            <w:tcW w:w="5177" w:type="dxa"/>
            <w:shd w:val="clear" w:color="auto" w:fill="auto"/>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Gia đình Người có công với cách mạng tiêu</w:t>
            </w:r>
            <w:r w:rsidR="00FC4C43" w:rsidRPr="0007734F">
              <w:rPr>
                <w:rFonts w:eastAsia="Times New Roman"/>
                <w:sz w:val="26"/>
                <w:szCs w:val="26"/>
              </w:rPr>
              <w:t xml:space="preserve"> biểu được Lãnh đạo thành phố đến</w:t>
            </w:r>
            <w:r w:rsidRPr="0007734F">
              <w:rPr>
                <w:rFonts w:eastAsia="Times New Roman"/>
                <w:sz w:val="26"/>
                <w:szCs w:val="26"/>
              </w:rPr>
              <w:t xml:space="preserve"> thăm </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đồng/gia đình</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2.500</w:t>
            </w:r>
          </w:p>
        </w:tc>
        <w:tc>
          <w:tcPr>
            <w:tcW w:w="1094"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500</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4</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Bà mẹ Việt Nam anh hùng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875"/>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5</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Thương binh, người hưởng chính sách như thương binh, </w:t>
            </w:r>
            <w:r w:rsidR="0058508C" w:rsidRPr="0007734F">
              <w:rPr>
                <w:rFonts w:eastAsia="Times New Roman"/>
                <w:sz w:val="26"/>
                <w:szCs w:val="26"/>
              </w:rPr>
              <w:t>t</w:t>
            </w:r>
            <w:r w:rsidRPr="0007734F">
              <w:rPr>
                <w:rFonts w:eastAsia="Times New Roman"/>
                <w:sz w:val="26"/>
                <w:szCs w:val="26"/>
              </w:rPr>
              <w:t xml:space="preserve">hương binh loại B, </w:t>
            </w:r>
            <w:r w:rsidR="0058508C" w:rsidRPr="0007734F">
              <w:rPr>
                <w:rFonts w:eastAsia="Times New Roman"/>
                <w:sz w:val="26"/>
                <w:szCs w:val="26"/>
              </w:rPr>
              <w:t>b</w:t>
            </w:r>
            <w:r w:rsidRPr="0007734F">
              <w:rPr>
                <w:rFonts w:eastAsia="Times New Roman"/>
                <w:sz w:val="26"/>
                <w:szCs w:val="26"/>
              </w:rPr>
              <w:t xml:space="preserve">ệnh binh, </w:t>
            </w:r>
            <w:r w:rsidR="0058508C" w:rsidRPr="0007734F">
              <w:rPr>
                <w:rFonts w:eastAsia="Times New Roman"/>
                <w:sz w:val="26"/>
                <w:szCs w:val="26"/>
              </w:rPr>
              <w:t>n</w:t>
            </w:r>
            <w:r w:rsidRPr="0007734F">
              <w:rPr>
                <w:rFonts w:eastAsia="Times New Roman"/>
                <w:sz w:val="26"/>
                <w:szCs w:val="26"/>
              </w:rPr>
              <w:t>gười hoạt động kháng chiến bị nhiễm chất độc hóa học bị mắc bệnh suy giảm khả năng lao động từ 81% trở lê</w:t>
            </w:r>
            <w:r w:rsidR="0058508C" w:rsidRPr="0007734F">
              <w:rPr>
                <w:rFonts w:eastAsia="Times New Roman"/>
                <w:sz w:val="26"/>
                <w:szCs w:val="26"/>
              </w:rPr>
              <w:t>n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273"/>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6</w:t>
            </w:r>
          </w:p>
        </w:tc>
        <w:tc>
          <w:tcPr>
            <w:tcW w:w="5177" w:type="dxa"/>
            <w:shd w:val="clear" w:color="auto" w:fill="auto"/>
            <w:vAlign w:val="center"/>
            <w:hideMark/>
          </w:tcPr>
          <w:p w:rsidR="003B7DBC" w:rsidRPr="0007734F" w:rsidRDefault="003B7DBC" w:rsidP="00FA4B15">
            <w:pPr>
              <w:spacing w:before="60" w:after="0" w:line="240" w:lineRule="auto"/>
              <w:ind w:right="22"/>
              <w:jc w:val="both"/>
              <w:rPr>
                <w:rFonts w:eastAsia="Times New Roman"/>
                <w:sz w:val="26"/>
                <w:szCs w:val="26"/>
              </w:rPr>
            </w:pPr>
            <w:r w:rsidRPr="0007734F">
              <w:rPr>
                <w:rFonts w:eastAsia="Times New Roman"/>
                <w:sz w:val="26"/>
                <w:szCs w:val="26"/>
              </w:rPr>
              <w:t>Người hoạt động cách mạng từ ngày 01 tháng 01 năm 1945 đến ngày khởi nghĩa tháng Tám năm 1945 (Cán bộ Tiền khởi nghĩa)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125"/>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7</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Anh hùng Lực lượng vũ trang nhân dân, Anh hùng Lao động trong kháng chiế</w:t>
            </w:r>
            <w:r w:rsidR="00A55524" w:rsidRPr="0007734F">
              <w:rPr>
                <w:rFonts w:eastAsia="Times New Roman"/>
                <w:sz w:val="26"/>
                <w:szCs w:val="26"/>
              </w:rPr>
              <w:t>n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8</w:t>
            </w:r>
          </w:p>
        </w:tc>
        <w:tc>
          <w:tcPr>
            <w:tcW w:w="5177" w:type="dxa"/>
            <w:shd w:val="clear" w:color="auto" w:fill="auto"/>
            <w:vAlign w:val="center"/>
            <w:hideMark/>
          </w:tcPr>
          <w:p w:rsidR="003B7DBC" w:rsidRPr="0007734F" w:rsidRDefault="00D225EB" w:rsidP="00FA4B15">
            <w:pPr>
              <w:spacing w:before="60" w:after="0" w:line="240" w:lineRule="auto"/>
              <w:jc w:val="both"/>
              <w:rPr>
                <w:rFonts w:eastAsia="Times New Roman"/>
                <w:sz w:val="26"/>
                <w:szCs w:val="26"/>
              </w:rPr>
            </w:pPr>
            <w:r w:rsidRPr="0007734F">
              <w:rPr>
                <w:rFonts w:eastAsia="Times New Roman"/>
                <w:sz w:val="26"/>
                <w:szCs w:val="26"/>
              </w:rPr>
              <w:t xml:space="preserve">Thân nhân liệt sĩ </w:t>
            </w:r>
            <w:r w:rsidR="003B7DBC" w:rsidRPr="0007734F">
              <w:rPr>
                <w:rFonts w:eastAsia="Times New Roman"/>
                <w:sz w:val="26"/>
                <w:szCs w:val="26"/>
              </w:rPr>
              <w:t>đang hưởng trợ cấp tuất hàng tháng</w:t>
            </w:r>
            <w:r w:rsidRPr="0007734F">
              <w:rPr>
                <w:rFonts w:eastAsia="Times New Roman"/>
                <w:sz w:val="26"/>
                <w:szCs w:val="26"/>
              </w:rPr>
              <w:t xml:space="preserve"> là chồng Bà mẹ Việt Nam anh hùng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03"/>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lastRenderedPageBreak/>
              <w:t>9</w:t>
            </w:r>
          </w:p>
        </w:tc>
        <w:tc>
          <w:tcPr>
            <w:tcW w:w="5177" w:type="dxa"/>
            <w:shd w:val="clear" w:color="auto" w:fill="auto"/>
            <w:vAlign w:val="center"/>
            <w:hideMark/>
          </w:tcPr>
          <w:p w:rsidR="003B7DBC" w:rsidRPr="0007734F" w:rsidRDefault="00DA733A" w:rsidP="00FA4B15">
            <w:pPr>
              <w:spacing w:before="60" w:after="0" w:line="240" w:lineRule="auto"/>
              <w:jc w:val="both"/>
              <w:rPr>
                <w:rFonts w:eastAsia="Times New Roman"/>
                <w:sz w:val="26"/>
                <w:szCs w:val="26"/>
              </w:rPr>
            </w:pPr>
            <w:r w:rsidRPr="0007734F">
              <w:rPr>
                <w:rFonts w:eastAsia="Times New Roman"/>
                <w:sz w:val="26"/>
                <w:szCs w:val="26"/>
              </w:rPr>
              <w:t>Gia đình N</w:t>
            </w:r>
            <w:r w:rsidR="003B7DBC" w:rsidRPr="0007734F">
              <w:rPr>
                <w:rFonts w:eastAsia="Times New Roman"/>
                <w:sz w:val="26"/>
                <w:szCs w:val="26"/>
              </w:rPr>
              <w:t>gười có công có hoàn cảnh khó khăn</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đồng/gia đình</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1.400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26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10</w:t>
            </w:r>
          </w:p>
        </w:tc>
        <w:tc>
          <w:tcPr>
            <w:tcW w:w="5177" w:type="dxa"/>
            <w:shd w:val="clear" w:color="auto" w:fill="auto"/>
            <w:vAlign w:val="center"/>
            <w:hideMark/>
          </w:tcPr>
          <w:p w:rsidR="003B7DBC" w:rsidRPr="0007734F" w:rsidRDefault="003B7DBC" w:rsidP="002B7C6A">
            <w:pPr>
              <w:spacing w:before="60" w:after="0" w:line="240" w:lineRule="auto"/>
              <w:jc w:val="both"/>
              <w:rPr>
                <w:rFonts w:eastAsia="Times New Roman"/>
                <w:sz w:val="26"/>
                <w:szCs w:val="26"/>
              </w:rPr>
            </w:pPr>
            <w:r w:rsidRPr="0007734F">
              <w:rPr>
                <w:rFonts w:eastAsia="Times New Roman"/>
                <w:sz w:val="26"/>
                <w:szCs w:val="26"/>
              </w:rPr>
              <w:t xml:space="preserve">Thân nhân liệt sĩ đang hưởng trợ cấp tuất nuôi dưỡng hàng tháng, thân nhân 02 liệt sĩ trở lên đang hưởng trợ cấp tuất hàng tháng (trừ chồng </w:t>
            </w:r>
            <w:r w:rsidR="00DA733A" w:rsidRPr="0007734F">
              <w:rPr>
                <w:rFonts w:eastAsia="Times New Roman"/>
                <w:sz w:val="26"/>
                <w:szCs w:val="26"/>
              </w:rPr>
              <w:t>Bà mẹ Việt Nam anh hùng)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1.000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11</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Thân nhân của một liệt sĩ đang hưởng trợ cấp tuất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466"/>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12</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Thương binh, người hưởng chính sách như thương binh, </w:t>
            </w:r>
            <w:r w:rsidR="0058508C" w:rsidRPr="0007734F">
              <w:rPr>
                <w:rFonts w:eastAsia="Times New Roman"/>
                <w:sz w:val="26"/>
                <w:szCs w:val="26"/>
              </w:rPr>
              <w:t>t</w:t>
            </w:r>
            <w:r w:rsidRPr="0007734F">
              <w:rPr>
                <w:rFonts w:eastAsia="Times New Roman"/>
                <w:sz w:val="26"/>
                <w:szCs w:val="26"/>
              </w:rPr>
              <w:t>hương binh lo</w:t>
            </w:r>
            <w:r w:rsidR="0058508C" w:rsidRPr="0007734F">
              <w:rPr>
                <w:rFonts w:eastAsia="Times New Roman"/>
                <w:sz w:val="26"/>
                <w:szCs w:val="26"/>
              </w:rPr>
              <w:t xml:space="preserve">ại B suy giảm khả năng lao động </w:t>
            </w:r>
            <w:r w:rsidRPr="0007734F">
              <w:rPr>
                <w:rFonts w:eastAsia="Times New Roman"/>
                <w:sz w:val="26"/>
                <w:szCs w:val="26"/>
              </w:rPr>
              <w:t>từ 21% đến 80% đang hưởng trợ cấp hàng tháng, thương binh hưởng chế độ mất sức lao động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13</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Bệnh b</w:t>
            </w:r>
            <w:r w:rsidR="00DA733A" w:rsidRPr="0007734F">
              <w:rPr>
                <w:rFonts w:eastAsia="Times New Roman"/>
                <w:sz w:val="26"/>
                <w:szCs w:val="26"/>
              </w:rPr>
              <w:t xml:space="preserve">inh suy giảm khả năng lao động </w:t>
            </w:r>
            <w:r w:rsidRPr="0007734F">
              <w:rPr>
                <w:rFonts w:eastAsia="Times New Roman"/>
                <w:sz w:val="26"/>
                <w:szCs w:val="26"/>
              </w:rPr>
              <w:t>từ 41% đến 80%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125"/>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14</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Người hoạt động cách mạng, hoạt động kháng chiến bị địch bắt tù</w:t>
            </w:r>
            <w:r w:rsidR="00FB522D" w:rsidRPr="0007734F">
              <w:rPr>
                <w:rFonts w:eastAsia="Times New Roman"/>
                <w:sz w:val="26"/>
                <w:szCs w:val="26"/>
              </w:rPr>
              <w:t>,</w:t>
            </w:r>
            <w:r w:rsidRPr="0007734F">
              <w:rPr>
                <w:rFonts w:eastAsia="Times New Roman"/>
                <w:sz w:val="26"/>
                <w:szCs w:val="26"/>
              </w:rPr>
              <w:t xml:space="preserve"> đày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5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15</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Người có công giúp đỡ cách mạng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80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16</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Người hoạt động kháng chiến bị nhiễm chất độc hóa học bị mắc bệnh suy giảm khả năng lao động từ 21% đến 80% và con đẻ của</w:t>
            </w:r>
            <w:r w:rsidR="00A55524" w:rsidRPr="0007734F">
              <w:rPr>
                <w:rFonts w:eastAsia="Times New Roman"/>
                <w:sz w:val="26"/>
                <w:szCs w:val="26"/>
              </w:rPr>
              <w:t xml:space="preserve"> người hoạt động kháng chiến bị </w:t>
            </w:r>
            <w:r w:rsidRPr="0007734F">
              <w:rPr>
                <w:rFonts w:eastAsia="Times New Roman"/>
                <w:sz w:val="26"/>
                <w:szCs w:val="26"/>
              </w:rPr>
              <w:t>nhiễm chất độc hóa học đang hưởng trợ cấp hàng tháng</w:t>
            </w:r>
          </w:p>
        </w:tc>
        <w:tc>
          <w:tcPr>
            <w:tcW w:w="2410" w:type="dxa"/>
            <w:shd w:val="clear" w:color="auto" w:fill="auto"/>
            <w:vAlign w:val="center"/>
            <w:hideMark/>
          </w:tcPr>
          <w:p w:rsidR="003B7DBC" w:rsidRPr="0007734F" w:rsidRDefault="003B7DBC" w:rsidP="00B27BD0">
            <w:pPr>
              <w:spacing w:before="60" w:after="0" w:line="240" w:lineRule="auto"/>
              <w:jc w:val="center"/>
              <w:rPr>
                <w:rFonts w:eastAsia="Times New Roman"/>
                <w:sz w:val="26"/>
                <w:szCs w:val="26"/>
              </w:rPr>
            </w:pPr>
            <w:r w:rsidRPr="0007734F">
              <w:rPr>
                <w:rFonts w:eastAsia="Times New Roman"/>
                <w:sz w:val="26"/>
                <w:szCs w:val="26"/>
              </w:rPr>
              <w:t>Nghìn đồng/người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695"/>
        </w:trPr>
        <w:tc>
          <w:tcPr>
            <w:tcW w:w="601" w:type="dxa"/>
            <w:shd w:val="clear" w:color="auto" w:fill="auto"/>
            <w:noWrap/>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1</w:t>
            </w:r>
            <w:r w:rsidR="009B3D15" w:rsidRPr="0007734F">
              <w:rPr>
                <w:rFonts w:eastAsia="Times New Roman"/>
                <w:sz w:val="26"/>
                <w:szCs w:val="26"/>
              </w:rPr>
              <w:t>7</w:t>
            </w:r>
          </w:p>
        </w:tc>
        <w:tc>
          <w:tcPr>
            <w:tcW w:w="5177" w:type="dxa"/>
            <w:shd w:val="clear" w:color="auto" w:fill="auto"/>
            <w:vAlign w:val="center"/>
            <w:hideMark/>
          </w:tcPr>
          <w:p w:rsidR="003B7DBC"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 xml:space="preserve">Người </w:t>
            </w:r>
            <w:r w:rsidR="003B7DBC" w:rsidRPr="0007734F">
              <w:rPr>
                <w:rFonts w:eastAsia="Times New Roman"/>
                <w:sz w:val="26"/>
                <w:szCs w:val="26"/>
              </w:rPr>
              <w:t>thờ cúng liệt sĩ không có thân nhân hưởng trợ cấp tuất hàng tháng:</w:t>
            </w:r>
          </w:p>
        </w:tc>
        <w:tc>
          <w:tcPr>
            <w:tcW w:w="2410" w:type="dxa"/>
            <w:shd w:val="clear" w:color="auto" w:fill="auto"/>
            <w:noWrap/>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 </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564"/>
        </w:trPr>
        <w:tc>
          <w:tcPr>
            <w:tcW w:w="601" w:type="dxa"/>
            <w:shd w:val="clear" w:color="auto" w:fill="auto"/>
            <w:noWrap/>
            <w:vAlign w:val="center"/>
            <w:hideMark/>
          </w:tcPr>
          <w:p w:rsidR="0023510C" w:rsidRPr="0007734F" w:rsidRDefault="0023510C"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23510C" w:rsidRPr="0007734F" w:rsidRDefault="0023510C" w:rsidP="00FA4B15">
            <w:pPr>
              <w:spacing w:before="60" w:after="0" w:line="240" w:lineRule="auto"/>
              <w:jc w:val="both"/>
              <w:rPr>
                <w:rFonts w:eastAsia="Times New Roman"/>
                <w:sz w:val="26"/>
                <w:szCs w:val="26"/>
              </w:rPr>
            </w:pPr>
            <w:r w:rsidRPr="0007734F">
              <w:rPr>
                <w:rFonts w:eastAsia="Times New Roman"/>
                <w:sz w:val="26"/>
                <w:szCs w:val="26"/>
              </w:rPr>
              <w:t xml:space="preserve"> - Thờ cúng 1 liệt sĩ</w:t>
            </w:r>
          </w:p>
        </w:tc>
        <w:tc>
          <w:tcPr>
            <w:tcW w:w="2410" w:type="dxa"/>
            <w:shd w:val="clear" w:color="auto" w:fill="auto"/>
            <w:hideMark/>
          </w:tcPr>
          <w:p w:rsidR="0023510C"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D03988" w:rsidRPr="0007734F">
              <w:rPr>
                <w:rFonts w:eastAsia="Times New Roman"/>
                <w:sz w:val="26"/>
                <w:szCs w:val="26"/>
              </w:rPr>
              <w:t>/</w:t>
            </w:r>
            <w:r w:rsidR="009B3D15" w:rsidRPr="0007734F">
              <w:rPr>
                <w:rFonts w:eastAsia="Times New Roman"/>
                <w:sz w:val="26"/>
                <w:szCs w:val="26"/>
              </w:rPr>
              <w:t>người</w:t>
            </w:r>
          </w:p>
        </w:tc>
        <w:tc>
          <w:tcPr>
            <w:tcW w:w="992" w:type="dxa"/>
            <w:shd w:val="clear" w:color="auto" w:fill="auto"/>
            <w:noWrap/>
            <w:vAlign w:val="center"/>
            <w:hideMark/>
          </w:tcPr>
          <w:p w:rsidR="0023510C" w:rsidRPr="0007734F" w:rsidRDefault="0023510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3510C" w:rsidRPr="0007734F" w:rsidRDefault="0023510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20"/>
        </w:trPr>
        <w:tc>
          <w:tcPr>
            <w:tcW w:w="601" w:type="dxa"/>
            <w:shd w:val="clear" w:color="auto" w:fill="auto"/>
            <w:noWrap/>
            <w:vAlign w:val="center"/>
            <w:hideMark/>
          </w:tcPr>
          <w:p w:rsidR="0023510C" w:rsidRPr="0007734F" w:rsidRDefault="0023510C"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23510C" w:rsidRPr="0007734F" w:rsidRDefault="0023510C" w:rsidP="00FA4B15">
            <w:pPr>
              <w:spacing w:before="60" w:after="0" w:line="240" w:lineRule="auto"/>
              <w:jc w:val="both"/>
              <w:rPr>
                <w:rFonts w:eastAsia="Times New Roman"/>
                <w:sz w:val="26"/>
                <w:szCs w:val="26"/>
              </w:rPr>
            </w:pPr>
            <w:r w:rsidRPr="0007734F">
              <w:rPr>
                <w:rFonts w:eastAsia="Times New Roman"/>
                <w:sz w:val="26"/>
                <w:szCs w:val="26"/>
              </w:rPr>
              <w:t xml:space="preserve"> - Thờ cúng 2 liệt sĩ</w:t>
            </w:r>
          </w:p>
        </w:tc>
        <w:tc>
          <w:tcPr>
            <w:tcW w:w="2410" w:type="dxa"/>
            <w:shd w:val="clear" w:color="auto" w:fill="auto"/>
            <w:vAlign w:val="center"/>
          </w:tcPr>
          <w:p w:rsidR="0023510C"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9B3D15" w:rsidRPr="0007734F">
              <w:rPr>
                <w:rFonts w:eastAsia="Times New Roman"/>
                <w:sz w:val="26"/>
                <w:szCs w:val="26"/>
              </w:rPr>
              <w:t>/người</w:t>
            </w:r>
          </w:p>
        </w:tc>
        <w:tc>
          <w:tcPr>
            <w:tcW w:w="992" w:type="dxa"/>
            <w:shd w:val="clear" w:color="auto" w:fill="auto"/>
            <w:noWrap/>
            <w:vAlign w:val="center"/>
            <w:hideMark/>
          </w:tcPr>
          <w:p w:rsidR="0023510C" w:rsidRPr="0007734F" w:rsidRDefault="0023510C" w:rsidP="000E2717">
            <w:pPr>
              <w:spacing w:before="60" w:after="0" w:line="240" w:lineRule="auto"/>
              <w:jc w:val="center"/>
              <w:rPr>
                <w:rFonts w:eastAsia="Times New Roman"/>
                <w:sz w:val="26"/>
                <w:szCs w:val="26"/>
              </w:rPr>
            </w:pPr>
            <w:r w:rsidRPr="0007734F">
              <w:rPr>
                <w:rFonts w:eastAsia="Times New Roman"/>
                <w:sz w:val="26"/>
                <w:szCs w:val="26"/>
              </w:rPr>
              <w:t>750</w:t>
            </w:r>
          </w:p>
        </w:tc>
        <w:tc>
          <w:tcPr>
            <w:tcW w:w="1094" w:type="dxa"/>
            <w:shd w:val="clear" w:color="auto" w:fill="auto"/>
            <w:noWrap/>
            <w:vAlign w:val="center"/>
            <w:hideMark/>
          </w:tcPr>
          <w:p w:rsidR="0023510C" w:rsidRPr="0007734F" w:rsidRDefault="0023510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706"/>
        </w:trPr>
        <w:tc>
          <w:tcPr>
            <w:tcW w:w="601" w:type="dxa"/>
            <w:shd w:val="clear" w:color="auto" w:fill="auto"/>
            <w:noWrap/>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 - Thờ cúng 3 liệt sĩ </w:t>
            </w:r>
          </w:p>
        </w:tc>
        <w:tc>
          <w:tcPr>
            <w:tcW w:w="2410" w:type="dxa"/>
            <w:shd w:val="clear" w:color="auto" w:fill="auto"/>
            <w:vAlign w:val="center"/>
          </w:tcPr>
          <w:p w:rsidR="003B7DBC"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9B3D15" w:rsidRPr="0007734F">
              <w:rPr>
                <w:rFonts w:eastAsia="Times New Roman"/>
                <w:sz w:val="26"/>
                <w:szCs w:val="26"/>
              </w:rPr>
              <w:t>/người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950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31"/>
        </w:trPr>
        <w:tc>
          <w:tcPr>
            <w:tcW w:w="601" w:type="dxa"/>
            <w:shd w:val="clear" w:color="auto" w:fill="auto"/>
            <w:noWrap/>
            <w:vAlign w:val="center"/>
            <w:hideMark/>
          </w:tcPr>
          <w:p w:rsidR="009B3D15"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9B3D15" w:rsidRPr="0007734F" w:rsidRDefault="009B3D15" w:rsidP="00FA4B15">
            <w:pPr>
              <w:spacing w:before="60" w:after="0" w:line="240" w:lineRule="auto"/>
              <w:jc w:val="both"/>
              <w:rPr>
                <w:rFonts w:eastAsia="Times New Roman"/>
                <w:sz w:val="26"/>
                <w:szCs w:val="26"/>
              </w:rPr>
            </w:pPr>
            <w:r w:rsidRPr="0007734F">
              <w:rPr>
                <w:rFonts w:eastAsia="Times New Roman"/>
                <w:sz w:val="26"/>
                <w:szCs w:val="26"/>
              </w:rPr>
              <w:t xml:space="preserve"> - Thờ cúng 4 liệt sĩ </w:t>
            </w:r>
          </w:p>
        </w:tc>
        <w:tc>
          <w:tcPr>
            <w:tcW w:w="2410" w:type="dxa"/>
            <w:shd w:val="clear" w:color="auto" w:fill="auto"/>
          </w:tcPr>
          <w:p w:rsidR="009B3D15"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9B3D15" w:rsidRPr="0007734F">
              <w:rPr>
                <w:rFonts w:eastAsia="Times New Roman"/>
                <w:sz w:val="26"/>
                <w:szCs w:val="26"/>
              </w:rPr>
              <w:t>/người</w:t>
            </w:r>
          </w:p>
        </w:tc>
        <w:tc>
          <w:tcPr>
            <w:tcW w:w="992" w:type="dxa"/>
            <w:shd w:val="clear" w:color="auto" w:fill="auto"/>
            <w:noWrap/>
            <w:vAlign w:val="center"/>
            <w:hideMark/>
          </w:tcPr>
          <w:p w:rsidR="009B3D15" w:rsidRPr="0007734F" w:rsidRDefault="009B3D15" w:rsidP="000E2717">
            <w:pPr>
              <w:spacing w:before="60" w:after="0" w:line="240" w:lineRule="auto"/>
              <w:jc w:val="center"/>
              <w:rPr>
                <w:rFonts w:eastAsia="Times New Roman"/>
                <w:sz w:val="26"/>
                <w:szCs w:val="26"/>
              </w:rPr>
            </w:pPr>
            <w:r w:rsidRPr="0007734F">
              <w:rPr>
                <w:rFonts w:eastAsia="Times New Roman"/>
                <w:sz w:val="26"/>
                <w:szCs w:val="26"/>
              </w:rPr>
              <w:t>1</w:t>
            </w:r>
            <w:r w:rsidR="00CC21E0" w:rsidRPr="0007734F">
              <w:rPr>
                <w:rFonts w:eastAsia="Times New Roman"/>
                <w:sz w:val="26"/>
                <w:szCs w:val="26"/>
              </w:rPr>
              <w:t>.</w:t>
            </w:r>
            <w:r w:rsidRPr="0007734F">
              <w:rPr>
                <w:rFonts w:eastAsia="Times New Roman"/>
                <w:sz w:val="26"/>
                <w:szCs w:val="26"/>
              </w:rPr>
              <w:t>150</w:t>
            </w:r>
          </w:p>
        </w:tc>
        <w:tc>
          <w:tcPr>
            <w:tcW w:w="1094" w:type="dxa"/>
            <w:shd w:val="clear" w:color="auto" w:fill="auto"/>
            <w:noWrap/>
            <w:vAlign w:val="center"/>
            <w:hideMark/>
          </w:tcPr>
          <w:p w:rsidR="009B3D15" w:rsidRPr="0007734F" w:rsidRDefault="009B3D15"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41"/>
        </w:trPr>
        <w:tc>
          <w:tcPr>
            <w:tcW w:w="601" w:type="dxa"/>
            <w:shd w:val="clear" w:color="auto" w:fill="auto"/>
            <w:noWrap/>
            <w:vAlign w:val="center"/>
            <w:hideMark/>
          </w:tcPr>
          <w:p w:rsidR="009B3D15"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9B3D15" w:rsidRPr="0007734F" w:rsidRDefault="009B3D15" w:rsidP="00FA4B15">
            <w:pPr>
              <w:spacing w:before="60" w:after="0" w:line="240" w:lineRule="auto"/>
              <w:jc w:val="both"/>
              <w:rPr>
                <w:rFonts w:eastAsia="Times New Roman"/>
                <w:sz w:val="26"/>
                <w:szCs w:val="26"/>
              </w:rPr>
            </w:pPr>
            <w:r w:rsidRPr="0007734F">
              <w:rPr>
                <w:rFonts w:eastAsia="Times New Roman"/>
                <w:sz w:val="26"/>
                <w:szCs w:val="26"/>
              </w:rPr>
              <w:t xml:space="preserve"> - Thờ cúng 5 liệt sĩ </w:t>
            </w:r>
          </w:p>
        </w:tc>
        <w:tc>
          <w:tcPr>
            <w:tcW w:w="2410" w:type="dxa"/>
            <w:shd w:val="clear" w:color="auto" w:fill="auto"/>
            <w:vAlign w:val="center"/>
          </w:tcPr>
          <w:p w:rsidR="009B3D15"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9B3D15" w:rsidRPr="0007734F">
              <w:rPr>
                <w:rFonts w:eastAsia="Times New Roman"/>
                <w:sz w:val="26"/>
                <w:szCs w:val="26"/>
              </w:rPr>
              <w:t>/người</w:t>
            </w:r>
          </w:p>
        </w:tc>
        <w:tc>
          <w:tcPr>
            <w:tcW w:w="992" w:type="dxa"/>
            <w:shd w:val="clear" w:color="auto" w:fill="auto"/>
            <w:noWrap/>
            <w:vAlign w:val="center"/>
            <w:hideMark/>
          </w:tcPr>
          <w:p w:rsidR="009B3D15" w:rsidRPr="0007734F" w:rsidRDefault="009B3D15" w:rsidP="000E2717">
            <w:pPr>
              <w:spacing w:before="60" w:after="0" w:line="240" w:lineRule="auto"/>
              <w:jc w:val="center"/>
              <w:rPr>
                <w:rFonts w:eastAsia="Times New Roman"/>
                <w:sz w:val="26"/>
                <w:szCs w:val="26"/>
              </w:rPr>
            </w:pPr>
            <w:r w:rsidRPr="0007734F">
              <w:rPr>
                <w:rFonts w:eastAsia="Times New Roman"/>
                <w:sz w:val="26"/>
                <w:szCs w:val="26"/>
              </w:rPr>
              <w:t>1</w:t>
            </w:r>
            <w:r w:rsidR="00CC21E0" w:rsidRPr="0007734F">
              <w:rPr>
                <w:rFonts w:eastAsia="Times New Roman"/>
                <w:sz w:val="26"/>
                <w:szCs w:val="26"/>
              </w:rPr>
              <w:t>.</w:t>
            </w:r>
            <w:r w:rsidRPr="0007734F">
              <w:rPr>
                <w:rFonts w:eastAsia="Times New Roman"/>
                <w:sz w:val="26"/>
                <w:szCs w:val="26"/>
              </w:rPr>
              <w:t>350</w:t>
            </w:r>
          </w:p>
        </w:tc>
        <w:tc>
          <w:tcPr>
            <w:tcW w:w="1094" w:type="dxa"/>
            <w:shd w:val="clear" w:color="auto" w:fill="auto"/>
            <w:noWrap/>
            <w:vAlign w:val="center"/>
            <w:hideMark/>
          </w:tcPr>
          <w:p w:rsidR="009B3D15" w:rsidRPr="0007734F" w:rsidRDefault="009B3D15"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40"/>
        </w:trPr>
        <w:tc>
          <w:tcPr>
            <w:tcW w:w="601" w:type="dxa"/>
            <w:shd w:val="clear" w:color="auto" w:fill="auto"/>
            <w:noWrap/>
            <w:vAlign w:val="center"/>
            <w:hideMark/>
          </w:tcPr>
          <w:p w:rsidR="009B3D15"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lastRenderedPageBreak/>
              <w:t> </w:t>
            </w:r>
          </w:p>
        </w:tc>
        <w:tc>
          <w:tcPr>
            <w:tcW w:w="5177" w:type="dxa"/>
            <w:shd w:val="clear" w:color="auto" w:fill="auto"/>
            <w:vAlign w:val="center"/>
            <w:hideMark/>
          </w:tcPr>
          <w:p w:rsidR="009B3D15" w:rsidRPr="0007734F" w:rsidRDefault="009B3D15" w:rsidP="00FA4B15">
            <w:pPr>
              <w:spacing w:before="60" w:after="0" w:line="240" w:lineRule="auto"/>
              <w:jc w:val="both"/>
              <w:rPr>
                <w:rFonts w:eastAsia="Times New Roman"/>
                <w:sz w:val="26"/>
                <w:szCs w:val="26"/>
              </w:rPr>
            </w:pPr>
            <w:r w:rsidRPr="0007734F">
              <w:rPr>
                <w:rFonts w:eastAsia="Times New Roman"/>
                <w:sz w:val="26"/>
                <w:szCs w:val="26"/>
              </w:rPr>
              <w:t xml:space="preserve"> - Thờ cúng 6 liệt sĩ </w:t>
            </w:r>
          </w:p>
        </w:tc>
        <w:tc>
          <w:tcPr>
            <w:tcW w:w="2410" w:type="dxa"/>
            <w:shd w:val="clear" w:color="auto" w:fill="auto"/>
            <w:vAlign w:val="center"/>
            <w:hideMark/>
          </w:tcPr>
          <w:p w:rsidR="009B3D15"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9B3D15" w:rsidRPr="0007734F">
              <w:rPr>
                <w:rFonts w:eastAsia="Times New Roman"/>
                <w:sz w:val="26"/>
                <w:szCs w:val="26"/>
              </w:rPr>
              <w:t>/người</w:t>
            </w:r>
          </w:p>
        </w:tc>
        <w:tc>
          <w:tcPr>
            <w:tcW w:w="992" w:type="dxa"/>
            <w:shd w:val="clear" w:color="auto" w:fill="auto"/>
            <w:noWrap/>
            <w:vAlign w:val="center"/>
            <w:hideMark/>
          </w:tcPr>
          <w:p w:rsidR="009B3D15" w:rsidRPr="0007734F" w:rsidRDefault="009B3D15" w:rsidP="000E2717">
            <w:pPr>
              <w:spacing w:before="60" w:after="0" w:line="240" w:lineRule="auto"/>
              <w:jc w:val="center"/>
              <w:rPr>
                <w:rFonts w:eastAsia="Times New Roman"/>
                <w:sz w:val="26"/>
                <w:szCs w:val="26"/>
              </w:rPr>
            </w:pPr>
            <w:r w:rsidRPr="0007734F">
              <w:rPr>
                <w:rFonts w:eastAsia="Times New Roman"/>
                <w:sz w:val="26"/>
                <w:szCs w:val="26"/>
              </w:rPr>
              <w:t>1</w:t>
            </w:r>
            <w:r w:rsidR="00CC21E0" w:rsidRPr="0007734F">
              <w:rPr>
                <w:rFonts w:eastAsia="Times New Roman"/>
                <w:sz w:val="26"/>
                <w:szCs w:val="26"/>
              </w:rPr>
              <w:t>.</w:t>
            </w:r>
            <w:r w:rsidRPr="0007734F">
              <w:rPr>
                <w:rFonts w:eastAsia="Times New Roman"/>
                <w:sz w:val="26"/>
                <w:szCs w:val="26"/>
              </w:rPr>
              <w:t>550</w:t>
            </w:r>
          </w:p>
        </w:tc>
        <w:tc>
          <w:tcPr>
            <w:tcW w:w="1094" w:type="dxa"/>
            <w:shd w:val="clear" w:color="auto" w:fill="auto"/>
            <w:noWrap/>
            <w:vAlign w:val="center"/>
            <w:hideMark/>
          </w:tcPr>
          <w:p w:rsidR="009B3D15" w:rsidRPr="0007734F" w:rsidRDefault="009B3D15"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51"/>
        </w:trPr>
        <w:tc>
          <w:tcPr>
            <w:tcW w:w="601" w:type="dxa"/>
            <w:shd w:val="clear" w:color="auto" w:fill="auto"/>
            <w:noWrap/>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 </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 - Thờ cúng 7 liệt sĩ </w:t>
            </w:r>
          </w:p>
        </w:tc>
        <w:tc>
          <w:tcPr>
            <w:tcW w:w="2410" w:type="dxa"/>
            <w:shd w:val="clear" w:color="auto" w:fill="auto"/>
            <w:vAlign w:val="center"/>
            <w:hideMark/>
          </w:tcPr>
          <w:p w:rsidR="003B7DBC"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104D83" w:rsidRPr="0007734F">
              <w:rPr>
                <w:rFonts w:eastAsia="Times New Roman"/>
                <w:sz w:val="26"/>
                <w:szCs w:val="26"/>
              </w:rPr>
              <w:t>/</w:t>
            </w:r>
            <w:r w:rsidR="00FA4B15" w:rsidRPr="0007734F">
              <w:rPr>
                <w:rFonts w:eastAsia="Times New Roman"/>
                <w:sz w:val="26"/>
                <w:szCs w:val="26"/>
              </w:rPr>
              <w:t>n</w:t>
            </w:r>
            <w:r w:rsidR="00A80421" w:rsidRPr="0007734F">
              <w:rPr>
                <w:rFonts w:eastAsia="Times New Roman"/>
                <w:sz w:val="26"/>
                <w:szCs w:val="26"/>
              </w:rPr>
              <w:t>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1</w:t>
            </w:r>
            <w:r w:rsidR="00CC21E0" w:rsidRPr="0007734F">
              <w:rPr>
                <w:rFonts w:eastAsia="Times New Roman"/>
                <w:sz w:val="26"/>
                <w:szCs w:val="26"/>
              </w:rPr>
              <w:t>.</w:t>
            </w:r>
            <w:r w:rsidRPr="0007734F">
              <w:rPr>
                <w:rFonts w:eastAsia="Times New Roman"/>
                <w:sz w:val="26"/>
                <w:szCs w:val="26"/>
              </w:rPr>
              <w:t>750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380"/>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18</w:t>
            </w:r>
          </w:p>
        </w:tc>
        <w:tc>
          <w:tcPr>
            <w:tcW w:w="5177" w:type="dxa"/>
            <w:shd w:val="clear" w:color="auto" w:fill="auto"/>
            <w:vAlign w:val="center"/>
            <w:hideMark/>
          </w:tcPr>
          <w:p w:rsidR="003B7DBC"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Người</w:t>
            </w:r>
            <w:r w:rsidR="003B7DBC" w:rsidRPr="0007734F">
              <w:rPr>
                <w:rFonts w:eastAsia="Times New Roman"/>
                <w:sz w:val="26"/>
                <w:szCs w:val="26"/>
              </w:rPr>
              <w:t xml:space="preserve"> thờ cúng Bà mẹ Việt </w:t>
            </w:r>
            <w:r w:rsidR="0023510C" w:rsidRPr="0007734F">
              <w:rPr>
                <w:rFonts w:eastAsia="Times New Roman"/>
                <w:sz w:val="26"/>
                <w:szCs w:val="26"/>
              </w:rPr>
              <w:t>N</w:t>
            </w:r>
            <w:r w:rsidR="00873D7B" w:rsidRPr="0007734F">
              <w:rPr>
                <w:rFonts w:eastAsia="Times New Roman"/>
                <w:sz w:val="26"/>
                <w:szCs w:val="26"/>
              </w:rPr>
              <w:t>am a</w:t>
            </w:r>
            <w:r w:rsidR="003B7DBC" w:rsidRPr="0007734F">
              <w:rPr>
                <w:rFonts w:eastAsia="Times New Roman"/>
                <w:sz w:val="26"/>
                <w:szCs w:val="26"/>
              </w:rPr>
              <w:t xml:space="preserve">nh hùng, Anh hùng Lực lượng </w:t>
            </w:r>
            <w:r w:rsidR="00DA733A" w:rsidRPr="0007734F">
              <w:rPr>
                <w:rFonts w:eastAsia="Times New Roman"/>
                <w:sz w:val="26"/>
                <w:szCs w:val="26"/>
              </w:rPr>
              <w:t>v</w:t>
            </w:r>
            <w:r w:rsidR="003B7DBC" w:rsidRPr="0007734F">
              <w:rPr>
                <w:rFonts w:eastAsia="Times New Roman"/>
                <w:sz w:val="26"/>
                <w:szCs w:val="26"/>
              </w:rPr>
              <w:t xml:space="preserve">ũ trang </w:t>
            </w:r>
            <w:r w:rsidR="00DA733A" w:rsidRPr="0007734F">
              <w:rPr>
                <w:rFonts w:eastAsia="Times New Roman"/>
                <w:sz w:val="26"/>
                <w:szCs w:val="26"/>
              </w:rPr>
              <w:t>n</w:t>
            </w:r>
            <w:r w:rsidR="003B7DBC" w:rsidRPr="0007734F">
              <w:rPr>
                <w:rFonts w:eastAsia="Times New Roman"/>
                <w:sz w:val="26"/>
                <w:szCs w:val="26"/>
              </w:rPr>
              <w:t>hân dân, Anh hùng Lao động trong kháng chiến đã hy sinh, từ trầ</w:t>
            </w:r>
            <w:r w:rsidR="00DA733A" w:rsidRPr="0007734F">
              <w:rPr>
                <w:rFonts w:eastAsia="Times New Roman"/>
                <w:sz w:val="26"/>
                <w:szCs w:val="26"/>
              </w:rPr>
              <w:t>n</w:t>
            </w:r>
          </w:p>
        </w:tc>
        <w:tc>
          <w:tcPr>
            <w:tcW w:w="2410" w:type="dxa"/>
            <w:shd w:val="clear" w:color="auto" w:fill="auto"/>
            <w:vAlign w:val="center"/>
            <w:hideMark/>
          </w:tcPr>
          <w:p w:rsidR="00D03988" w:rsidRPr="0007734F" w:rsidRDefault="00D03988" w:rsidP="00FA4B15">
            <w:pPr>
              <w:spacing w:before="60" w:after="0" w:line="240" w:lineRule="auto"/>
              <w:jc w:val="center"/>
              <w:rPr>
                <w:rFonts w:eastAsia="Times New Roman"/>
                <w:sz w:val="26"/>
                <w:szCs w:val="26"/>
              </w:rPr>
            </w:pPr>
            <w:r w:rsidRPr="0007734F">
              <w:rPr>
                <w:rFonts w:eastAsia="Times New Roman"/>
                <w:sz w:val="26"/>
                <w:szCs w:val="26"/>
              </w:rPr>
              <w:t>Nghìn đồng</w:t>
            </w:r>
          </w:p>
          <w:p w:rsidR="003B7DBC" w:rsidRPr="0007734F" w:rsidRDefault="00D03988" w:rsidP="00FA4B15">
            <w:pPr>
              <w:spacing w:before="60" w:after="0" w:line="240" w:lineRule="auto"/>
              <w:jc w:val="center"/>
              <w:rPr>
                <w:rFonts w:eastAsia="Times New Roman"/>
                <w:sz w:val="26"/>
                <w:szCs w:val="26"/>
              </w:rPr>
            </w:pPr>
            <w:r w:rsidRPr="0007734F">
              <w:rPr>
                <w:rFonts w:eastAsia="Times New Roman"/>
                <w:sz w:val="26"/>
                <w:szCs w:val="26"/>
              </w:rPr>
              <w:t>/</w:t>
            </w:r>
            <w:r w:rsidR="002269ED" w:rsidRPr="0007734F">
              <w:rPr>
                <w:rFonts w:eastAsia="Times New Roman"/>
                <w:sz w:val="26"/>
                <w:szCs w:val="26"/>
              </w:rPr>
              <w:t>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855"/>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19</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 xml:space="preserve">Thân nhân của </w:t>
            </w:r>
            <w:r w:rsidR="00106026" w:rsidRPr="0007734F">
              <w:rPr>
                <w:rFonts w:eastAsia="Times New Roman"/>
                <w:sz w:val="26"/>
                <w:szCs w:val="26"/>
              </w:rPr>
              <w:t>c</w:t>
            </w:r>
            <w:r w:rsidRPr="0007734F">
              <w:rPr>
                <w:rFonts w:eastAsia="Times New Roman"/>
                <w:sz w:val="26"/>
                <w:szCs w:val="26"/>
              </w:rPr>
              <w:t xml:space="preserve">án bộ </w:t>
            </w:r>
            <w:r w:rsidR="00873D7B" w:rsidRPr="0007734F">
              <w:rPr>
                <w:rFonts w:eastAsia="Times New Roman"/>
                <w:sz w:val="26"/>
                <w:szCs w:val="26"/>
              </w:rPr>
              <w:t>Lão thành c</w:t>
            </w:r>
            <w:r w:rsidRPr="0007734F">
              <w:rPr>
                <w:rFonts w:eastAsia="Times New Roman"/>
                <w:sz w:val="26"/>
                <w:szCs w:val="26"/>
              </w:rPr>
              <w:t xml:space="preserve">ách mạng, </w:t>
            </w:r>
            <w:r w:rsidR="0058508C" w:rsidRPr="0007734F">
              <w:rPr>
                <w:rFonts w:eastAsia="Times New Roman"/>
                <w:sz w:val="26"/>
                <w:szCs w:val="26"/>
              </w:rPr>
              <w:t>c</w:t>
            </w:r>
            <w:r w:rsidRPr="0007734F">
              <w:rPr>
                <w:rFonts w:eastAsia="Times New Roman"/>
                <w:sz w:val="26"/>
                <w:szCs w:val="26"/>
              </w:rPr>
              <w:t xml:space="preserve">án bộ </w:t>
            </w:r>
            <w:r w:rsidR="0058508C" w:rsidRPr="0007734F">
              <w:rPr>
                <w:rFonts w:eastAsia="Times New Roman"/>
                <w:sz w:val="26"/>
                <w:szCs w:val="26"/>
              </w:rPr>
              <w:t>T</w:t>
            </w:r>
            <w:r w:rsidRPr="0007734F">
              <w:rPr>
                <w:rFonts w:eastAsia="Times New Roman"/>
                <w:sz w:val="26"/>
                <w:szCs w:val="26"/>
              </w:rPr>
              <w:t>iền khởi nghĩa đang hưởng tuất từ trần</w:t>
            </w:r>
          </w:p>
        </w:tc>
        <w:tc>
          <w:tcPr>
            <w:tcW w:w="2410" w:type="dxa"/>
            <w:shd w:val="clear" w:color="auto" w:fill="auto"/>
            <w:vAlign w:val="center"/>
            <w:hideMark/>
          </w:tcPr>
          <w:p w:rsidR="003B7DBC" w:rsidRPr="0007734F" w:rsidRDefault="003B7DBC" w:rsidP="00FA4B15">
            <w:pPr>
              <w:spacing w:before="60" w:after="0" w:line="240" w:lineRule="auto"/>
              <w:jc w:val="center"/>
              <w:rPr>
                <w:rFonts w:eastAsia="Times New Roman"/>
                <w:sz w:val="26"/>
                <w:szCs w:val="26"/>
              </w:rPr>
            </w:pPr>
            <w:r w:rsidRPr="0007734F">
              <w:rPr>
                <w:rFonts w:eastAsia="Times New Roman"/>
                <w:sz w:val="26"/>
                <w:szCs w:val="26"/>
              </w:rPr>
              <w:t>Nghìn</w:t>
            </w:r>
            <w:r w:rsidR="00D03988" w:rsidRPr="0007734F">
              <w:rPr>
                <w:rFonts w:eastAsia="Times New Roman"/>
                <w:sz w:val="26"/>
                <w:szCs w:val="26"/>
              </w:rPr>
              <w:t xml:space="preserve"> </w:t>
            </w:r>
            <w:r w:rsidRPr="0007734F">
              <w:rPr>
                <w:rFonts w:eastAsia="Times New Roman"/>
                <w:sz w:val="26"/>
                <w:szCs w:val="26"/>
              </w:rPr>
              <w:t>đồng/</w:t>
            </w:r>
            <w:r w:rsidR="00D03988" w:rsidRPr="0007734F">
              <w:rPr>
                <w:rFonts w:eastAsia="Times New Roman"/>
                <w:sz w:val="26"/>
                <w:szCs w:val="26"/>
              </w:rPr>
              <w:t xml:space="preserve"> </w:t>
            </w:r>
            <w:r w:rsidRPr="0007734F">
              <w:rPr>
                <w:rFonts w:eastAsia="Times New Roman"/>
                <w:sz w:val="26"/>
                <w:szCs w:val="26"/>
              </w:rPr>
              <w:t>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123"/>
        </w:trPr>
        <w:tc>
          <w:tcPr>
            <w:tcW w:w="601" w:type="dxa"/>
            <w:shd w:val="clear" w:color="auto" w:fill="auto"/>
            <w:noWrap/>
            <w:vAlign w:val="center"/>
            <w:hideMark/>
          </w:tcPr>
          <w:p w:rsidR="003B7DB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20</w:t>
            </w:r>
          </w:p>
        </w:tc>
        <w:tc>
          <w:tcPr>
            <w:tcW w:w="5177" w:type="dxa"/>
            <w:shd w:val="clear" w:color="auto" w:fill="auto"/>
            <w:vAlign w:val="center"/>
            <w:hideMark/>
          </w:tcPr>
          <w:p w:rsidR="003B7DBC" w:rsidRPr="0007734F" w:rsidRDefault="003B7DBC" w:rsidP="00FA4B15">
            <w:pPr>
              <w:spacing w:before="60" w:after="0" w:line="240" w:lineRule="auto"/>
              <w:jc w:val="both"/>
              <w:rPr>
                <w:rFonts w:eastAsia="Times New Roman"/>
                <w:sz w:val="26"/>
                <w:szCs w:val="26"/>
              </w:rPr>
            </w:pPr>
            <w:r w:rsidRPr="0007734F">
              <w:rPr>
                <w:rFonts w:eastAsia="Times New Roman"/>
                <w:sz w:val="26"/>
                <w:szCs w:val="26"/>
              </w:rPr>
              <w:t>Thân nhân của thương</w:t>
            </w:r>
            <w:r w:rsidR="00DA733A" w:rsidRPr="0007734F">
              <w:rPr>
                <w:rFonts w:eastAsia="Times New Roman"/>
                <w:sz w:val="26"/>
                <w:szCs w:val="26"/>
              </w:rPr>
              <w:t xml:space="preserve"> binh</w:t>
            </w:r>
            <w:r w:rsidRPr="0007734F">
              <w:rPr>
                <w:rFonts w:eastAsia="Times New Roman"/>
                <w:sz w:val="26"/>
                <w:szCs w:val="26"/>
              </w:rPr>
              <w:t>, bệnh binh, người hoạt động kháng chiến bị nhiễm chất độc hóa học đang hưởng tuất từ trần</w:t>
            </w:r>
          </w:p>
        </w:tc>
        <w:tc>
          <w:tcPr>
            <w:tcW w:w="2410" w:type="dxa"/>
            <w:shd w:val="clear" w:color="auto" w:fill="auto"/>
            <w:vAlign w:val="center"/>
            <w:hideMark/>
          </w:tcPr>
          <w:p w:rsidR="003B7DBC"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3B7DBC" w:rsidRPr="0007734F">
              <w:rPr>
                <w:rFonts w:eastAsia="Times New Roman"/>
                <w:sz w:val="26"/>
                <w:szCs w:val="26"/>
              </w:rPr>
              <w:t>người</w:t>
            </w:r>
          </w:p>
        </w:tc>
        <w:tc>
          <w:tcPr>
            <w:tcW w:w="992" w:type="dxa"/>
            <w:shd w:val="clear" w:color="auto" w:fill="auto"/>
            <w:noWrap/>
            <w:vAlign w:val="center"/>
            <w:hideMark/>
          </w:tcPr>
          <w:p w:rsidR="003B7DBC" w:rsidRPr="0007734F" w:rsidRDefault="003B7DB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3B7DBC" w:rsidRPr="0007734F" w:rsidRDefault="003B7DB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139"/>
        </w:trPr>
        <w:tc>
          <w:tcPr>
            <w:tcW w:w="601" w:type="dxa"/>
            <w:shd w:val="clear" w:color="auto" w:fill="auto"/>
            <w:noWrap/>
            <w:vAlign w:val="center"/>
            <w:hideMark/>
          </w:tcPr>
          <w:p w:rsidR="0023510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21</w:t>
            </w:r>
          </w:p>
        </w:tc>
        <w:tc>
          <w:tcPr>
            <w:tcW w:w="5177" w:type="dxa"/>
            <w:shd w:val="clear" w:color="auto" w:fill="auto"/>
            <w:vAlign w:val="center"/>
            <w:hideMark/>
          </w:tcPr>
          <w:p w:rsidR="0023510C" w:rsidRPr="0007734F" w:rsidRDefault="0023510C" w:rsidP="00FA4B15">
            <w:pPr>
              <w:spacing w:before="60" w:after="0" w:line="240" w:lineRule="auto"/>
              <w:jc w:val="both"/>
              <w:rPr>
                <w:rFonts w:eastAsia="Times New Roman"/>
                <w:sz w:val="26"/>
                <w:szCs w:val="26"/>
              </w:rPr>
            </w:pPr>
            <w:r w:rsidRPr="0007734F">
              <w:rPr>
                <w:rFonts w:eastAsia="Times New Roman"/>
                <w:sz w:val="26"/>
                <w:szCs w:val="26"/>
              </w:rPr>
              <w:t>Đại diệ</w:t>
            </w:r>
            <w:r w:rsidR="0058508C" w:rsidRPr="0007734F">
              <w:rPr>
                <w:rFonts w:eastAsia="Times New Roman"/>
                <w:sz w:val="26"/>
                <w:szCs w:val="26"/>
              </w:rPr>
              <w:t xml:space="preserve">n gia đình </w:t>
            </w:r>
            <w:r w:rsidR="00DA733A" w:rsidRPr="0007734F">
              <w:rPr>
                <w:rFonts w:eastAsia="Times New Roman"/>
                <w:sz w:val="26"/>
                <w:szCs w:val="26"/>
              </w:rPr>
              <w:t>c</w:t>
            </w:r>
            <w:r w:rsidRPr="0007734F">
              <w:rPr>
                <w:rFonts w:eastAsia="Times New Roman"/>
                <w:sz w:val="26"/>
                <w:szCs w:val="26"/>
              </w:rPr>
              <w:t xml:space="preserve">án bộ </w:t>
            </w:r>
            <w:r w:rsidR="00106026" w:rsidRPr="0007734F">
              <w:rPr>
                <w:rFonts w:eastAsia="Times New Roman"/>
                <w:sz w:val="26"/>
                <w:szCs w:val="26"/>
              </w:rPr>
              <w:t>L</w:t>
            </w:r>
            <w:r w:rsidRPr="0007734F">
              <w:rPr>
                <w:rFonts w:eastAsia="Times New Roman"/>
                <w:sz w:val="26"/>
                <w:szCs w:val="26"/>
              </w:rPr>
              <w:t xml:space="preserve">ão thành </w:t>
            </w:r>
            <w:r w:rsidR="00873D7B" w:rsidRPr="0007734F">
              <w:rPr>
                <w:rFonts w:eastAsia="Times New Roman"/>
                <w:sz w:val="26"/>
                <w:szCs w:val="26"/>
              </w:rPr>
              <w:t>c</w:t>
            </w:r>
            <w:r w:rsidRPr="0007734F">
              <w:rPr>
                <w:rFonts w:eastAsia="Times New Roman"/>
                <w:sz w:val="26"/>
                <w:szCs w:val="26"/>
              </w:rPr>
              <w:t xml:space="preserve">ách mạng, </w:t>
            </w:r>
            <w:r w:rsidR="0058508C" w:rsidRPr="0007734F">
              <w:rPr>
                <w:rFonts w:eastAsia="Times New Roman"/>
                <w:sz w:val="26"/>
                <w:szCs w:val="26"/>
              </w:rPr>
              <w:t>c</w:t>
            </w:r>
            <w:r w:rsidRPr="0007734F">
              <w:rPr>
                <w:rFonts w:eastAsia="Times New Roman"/>
                <w:sz w:val="26"/>
                <w:szCs w:val="26"/>
              </w:rPr>
              <w:t>án bộ Tiền khởi nghĩa đã hy sinh, từ trần, không có thân nhân hưởng trợ cấp tuất hàng tháng</w:t>
            </w:r>
          </w:p>
        </w:tc>
        <w:tc>
          <w:tcPr>
            <w:tcW w:w="2410" w:type="dxa"/>
            <w:shd w:val="clear" w:color="auto" w:fill="auto"/>
            <w:vAlign w:val="center"/>
            <w:hideMark/>
          </w:tcPr>
          <w:p w:rsidR="0023510C"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3510C" w:rsidRPr="0007734F">
              <w:rPr>
                <w:rFonts w:eastAsia="Times New Roman"/>
                <w:sz w:val="26"/>
                <w:szCs w:val="26"/>
              </w:rPr>
              <w:t>gia đình</w:t>
            </w:r>
          </w:p>
        </w:tc>
        <w:tc>
          <w:tcPr>
            <w:tcW w:w="992" w:type="dxa"/>
            <w:shd w:val="clear" w:color="auto" w:fill="auto"/>
            <w:noWrap/>
            <w:vAlign w:val="center"/>
            <w:hideMark/>
          </w:tcPr>
          <w:p w:rsidR="0023510C" w:rsidRPr="0007734F" w:rsidRDefault="0023510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3510C" w:rsidRPr="0007734F" w:rsidRDefault="0023510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2392"/>
        </w:trPr>
        <w:tc>
          <w:tcPr>
            <w:tcW w:w="601" w:type="dxa"/>
            <w:shd w:val="clear" w:color="auto" w:fill="auto"/>
            <w:noWrap/>
            <w:vAlign w:val="center"/>
            <w:hideMark/>
          </w:tcPr>
          <w:p w:rsidR="0023510C"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22</w:t>
            </w:r>
          </w:p>
        </w:tc>
        <w:tc>
          <w:tcPr>
            <w:tcW w:w="5177" w:type="dxa"/>
            <w:shd w:val="clear" w:color="auto" w:fill="auto"/>
            <w:vAlign w:val="center"/>
            <w:hideMark/>
          </w:tcPr>
          <w:p w:rsidR="0023510C" w:rsidRPr="0007734F" w:rsidRDefault="0023510C" w:rsidP="00FA4B15">
            <w:pPr>
              <w:spacing w:before="60" w:after="0" w:line="240" w:lineRule="auto"/>
              <w:jc w:val="both"/>
              <w:rPr>
                <w:rFonts w:eastAsia="Times New Roman"/>
                <w:sz w:val="26"/>
                <w:szCs w:val="26"/>
              </w:rPr>
            </w:pPr>
            <w:r w:rsidRPr="0007734F">
              <w:rPr>
                <w:rFonts w:eastAsia="Times New Roman"/>
                <w:sz w:val="26"/>
                <w:szCs w:val="26"/>
              </w:rPr>
              <w:t>Người dân có công giúp đỡ cách mạng (còn sống) được tặng Huy chương kháng chiến hưởng trợ cấp 1 lần và người hoạt động kháng chiến được tặng thưởng Huân, Huy chương kháng chiến (còn sống) hưởng trợ cấp 1 lần, không hưởng</w:t>
            </w:r>
            <w:r w:rsidR="00BE549B" w:rsidRPr="0007734F">
              <w:rPr>
                <w:rFonts w:eastAsia="Times New Roman"/>
                <w:sz w:val="26"/>
                <w:szCs w:val="26"/>
              </w:rPr>
              <w:t xml:space="preserve"> lương hưu,</w:t>
            </w:r>
            <w:r w:rsidR="006B7809" w:rsidRPr="0007734F">
              <w:rPr>
                <w:rFonts w:eastAsia="Times New Roman"/>
                <w:sz w:val="26"/>
                <w:szCs w:val="26"/>
              </w:rPr>
              <w:t xml:space="preserve"> </w:t>
            </w:r>
            <w:r w:rsidRPr="0007734F">
              <w:rPr>
                <w:rFonts w:eastAsia="Times New Roman"/>
                <w:sz w:val="26"/>
                <w:szCs w:val="26"/>
              </w:rPr>
              <w:t>t</w:t>
            </w:r>
            <w:r w:rsidR="00946BBA" w:rsidRPr="0007734F">
              <w:rPr>
                <w:rFonts w:eastAsia="Times New Roman"/>
                <w:sz w:val="26"/>
                <w:szCs w:val="26"/>
              </w:rPr>
              <w:t>rợ cấp b</w:t>
            </w:r>
            <w:r w:rsidR="006B7809" w:rsidRPr="0007734F">
              <w:rPr>
                <w:rFonts w:eastAsia="Times New Roman"/>
                <w:sz w:val="26"/>
                <w:szCs w:val="26"/>
              </w:rPr>
              <w:t>ảo hiểm xã hội và</w:t>
            </w:r>
            <w:r w:rsidRPr="0007734F">
              <w:rPr>
                <w:rFonts w:eastAsia="Times New Roman"/>
                <w:sz w:val="26"/>
                <w:szCs w:val="26"/>
              </w:rPr>
              <w:t xml:space="preserve"> trợ cấp khác theo Pháp lệnh Ưu đãi người có công với cách mạng</w:t>
            </w:r>
          </w:p>
        </w:tc>
        <w:tc>
          <w:tcPr>
            <w:tcW w:w="2410" w:type="dxa"/>
            <w:shd w:val="clear" w:color="auto" w:fill="auto"/>
            <w:vAlign w:val="center"/>
            <w:hideMark/>
          </w:tcPr>
          <w:p w:rsidR="0023510C"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3510C" w:rsidRPr="0007734F">
              <w:rPr>
                <w:rFonts w:eastAsia="Times New Roman"/>
                <w:sz w:val="26"/>
                <w:szCs w:val="26"/>
              </w:rPr>
              <w:t>người</w:t>
            </w:r>
          </w:p>
        </w:tc>
        <w:tc>
          <w:tcPr>
            <w:tcW w:w="992" w:type="dxa"/>
            <w:shd w:val="clear" w:color="auto" w:fill="auto"/>
            <w:noWrap/>
            <w:vAlign w:val="center"/>
            <w:hideMark/>
          </w:tcPr>
          <w:p w:rsidR="0023510C" w:rsidRPr="0007734F" w:rsidRDefault="0023510C"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3510C" w:rsidRPr="0007734F" w:rsidRDefault="0023510C"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600"/>
        </w:trPr>
        <w:tc>
          <w:tcPr>
            <w:tcW w:w="601" w:type="dxa"/>
            <w:shd w:val="clear" w:color="auto" w:fill="auto"/>
            <w:noWrap/>
            <w:vAlign w:val="center"/>
            <w:hideMark/>
          </w:tcPr>
          <w:p w:rsidR="00C1208A" w:rsidRPr="0007734F" w:rsidRDefault="00C1208A" w:rsidP="00FA4B15">
            <w:pPr>
              <w:spacing w:before="60" w:after="0" w:line="240" w:lineRule="auto"/>
              <w:jc w:val="center"/>
              <w:rPr>
                <w:rFonts w:eastAsia="Times New Roman"/>
                <w:b/>
                <w:sz w:val="26"/>
                <w:szCs w:val="26"/>
              </w:rPr>
            </w:pPr>
            <w:r w:rsidRPr="0007734F">
              <w:rPr>
                <w:rFonts w:eastAsia="Times New Roman"/>
                <w:b/>
                <w:sz w:val="26"/>
                <w:szCs w:val="26"/>
              </w:rPr>
              <w:t>II</w:t>
            </w:r>
          </w:p>
        </w:tc>
        <w:tc>
          <w:tcPr>
            <w:tcW w:w="5177" w:type="dxa"/>
            <w:shd w:val="clear" w:color="auto" w:fill="auto"/>
            <w:vAlign w:val="center"/>
            <w:hideMark/>
          </w:tcPr>
          <w:p w:rsidR="00C1208A" w:rsidRPr="0007734F" w:rsidRDefault="00C1208A" w:rsidP="00FA4B15">
            <w:pPr>
              <w:spacing w:before="60" w:after="0" w:line="240" w:lineRule="auto"/>
              <w:jc w:val="both"/>
              <w:rPr>
                <w:rFonts w:eastAsia="Times New Roman"/>
                <w:b/>
                <w:sz w:val="26"/>
                <w:szCs w:val="26"/>
              </w:rPr>
            </w:pPr>
            <w:r w:rsidRPr="0007734F">
              <w:rPr>
                <w:rFonts w:eastAsia="Times New Roman"/>
                <w:b/>
                <w:sz w:val="26"/>
                <w:szCs w:val="26"/>
              </w:rPr>
              <w:t>ĐỐI TƯỢNG ĐẶC</w:t>
            </w:r>
            <w:r w:rsidR="00F81738" w:rsidRPr="0007734F">
              <w:rPr>
                <w:rFonts w:eastAsia="Times New Roman"/>
                <w:b/>
                <w:sz w:val="26"/>
                <w:szCs w:val="26"/>
              </w:rPr>
              <w:t xml:space="preserve"> </w:t>
            </w:r>
            <w:r w:rsidRPr="0007734F">
              <w:rPr>
                <w:rFonts w:eastAsia="Times New Roman"/>
                <w:b/>
                <w:sz w:val="26"/>
                <w:szCs w:val="26"/>
              </w:rPr>
              <w:t>THÙ</w:t>
            </w:r>
          </w:p>
        </w:tc>
        <w:tc>
          <w:tcPr>
            <w:tcW w:w="2410" w:type="dxa"/>
            <w:shd w:val="clear" w:color="auto" w:fill="auto"/>
            <w:vAlign w:val="center"/>
            <w:hideMark/>
          </w:tcPr>
          <w:p w:rsidR="00C1208A" w:rsidRPr="0007734F" w:rsidRDefault="00C1208A" w:rsidP="00FA4B15">
            <w:pPr>
              <w:spacing w:before="60" w:after="0" w:line="240" w:lineRule="auto"/>
              <w:jc w:val="center"/>
              <w:rPr>
                <w:rFonts w:eastAsia="Times New Roman"/>
                <w:sz w:val="26"/>
                <w:szCs w:val="26"/>
              </w:rPr>
            </w:pPr>
          </w:p>
        </w:tc>
        <w:tc>
          <w:tcPr>
            <w:tcW w:w="992" w:type="dxa"/>
            <w:shd w:val="clear" w:color="auto" w:fill="auto"/>
            <w:noWrap/>
            <w:vAlign w:val="center"/>
            <w:hideMark/>
          </w:tcPr>
          <w:p w:rsidR="00C1208A" w:rsidRPr="0007734F" w:rsidRDefault="00C1208A" w:rsidP="00FA4B15">
            <w:pPr>
              <w:spacing w:before="60" w:after="0" w:line="240" w:lineRule="auto"/>
              <w:jc w:val="right"/>
              <w:rPr>
                <w:rFonts w:eastAsia="Times New Roman"/>
                <w:sz w:val="26"/>
                <w:szCs w:val="26"/>
              </w:rPr>
            </w:pPr>
          </w:p>
        </w:tc>
        <w:tc>
          <w:tcPr>
            <w:tcW w:w="1094" w:type="dxa"/>
            <w:shd w:val="clear" w:color="auto" w:fill="auto"/>
            <w:noWrap/>
            <w:vAlign w:val="center"/>
            <w:hideMark/>
          </w:tcPr>
          <w:p w:rsidR="00C1208A" w:rsidRPr="0007734F" w:rsidRDefault="00C1208A" w:rsidP="00FA4B15">
            <w:pPr>
              <w:spacing w:before="60" w:after="0" w:line="240" w:lineRule="auto"/>
              <w:rPr>
                <w:rFonts w:eastAsia="Times New Roman"/>
                <w:sz w:val="26"/>
                <w:szCs w:val="26"/>
              </w:rPr>
            </w:pPr>
          </w:p>
        </w:tc>
      </w:tr>
      <w:tr w:rsidR="00B27BD0" w:rsidRPr="0007734F" w:rsidTr="000E2717">
        <w:trPr>
          <w:trHeight w:val="600"/>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1</w:t>
            </w:r>
          </w:p>
        </w:tc>
        <w:tc>
          <w:tcPr>
            <w:tcW w:w="5177" w:type="dxa"/>
            <w:shd w:val="clear" w:color="auto" w:fill="auto"/>
            <w:vAlign w:val="center"/>
            <w:hideMark/>
          </w:tcPr>
          <w:p w:rsidR="002269ED"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Gia đình các đồng chí là Tỉnh (Thành) ủy viên trở lên đã hy sinh, từ trần</w:t>
            </w:r>
          </w:p>
        </w:tc>
        <w:tc>
          <w:tcPr>
            <w:tcW w:w="2410" w:type="dxa"/>
            <w:shd w:val="clear" w:color="auto" w:fill="auto"/>
            <w:vAlign w:val="center"/>
            <w:hideMark/>
          </w:tcPr>
          <w:p w:rsidR="002269ED"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gia đình</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2.500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p>
        </w:tc>
      </w:tr>
      <w:tr w:rsidR="00B27BD0" w:rsidRPr="0007734F" w:rsidTr="000E2717">
        <w:trPr>
          <w:trHeight w:val="600"/>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2</w:t>
            </w:r>
          </w:p>
        </w:tc>
        <w:tc>
          <w:tcPr>
            <w:tcW w:w="5177" w:type="dxa"/>
            <w:shd w:val="clear" w:color="auto" w:fill="auto"/>
            <w:vAlign w:val="center"/>
            <w:hideMark/>
          </w:tcPr>
          <w:p w:rsidR="002269ED"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Các đồng chí nguyên Tỉnh (Thành) ủy viên, Phó Chủ tịch HĐND, UBND tỉnh, thành phố và tương đương trở lên đang ốm đau dài ngày</w:t>
            </w:r>
          </w:p>
        </w:tc>
        <w:tc>
          <w:tcPr>
            <w:tcW w:w="2410" w:type="dxa"/>
            <w:shd w:val="clear" w:color="auto" w:fill="auto"/>
            <w:vAlign w:val="center"/>
            <w:hideMark/>
          </w:tcPr>
          <w:p w:rsidR="002269ED" w:rsidRPr="0007734F" w:rsidRDefault="00B27BD0" w:rsidP="00B27BD0">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2.500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p>
        </w:tc>
      </w:tr>
      <w:tr w:rsidR="00B27BD0" w:rsidRPr="0007734F" w:rsidTr="000E2717">
        <w:trPr>
          <w:trHeight w:val="600"/>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3</w:t>
            </w:r>
          </w:p>
        </w:tc>
        <w:tc>
          <w:tcPr>
            <w:tcW w:w="5177" w:type="dxa"/>
            <w:shd w:val="clear" w:color="auto" w:fill="auto"/>
            <w:vAlign w:val="center"/>
            <w:hideMark/>
          </w:tcPr>
          <w:p w:rsidR="002269ED"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Hội viên Hội Cựu Thanh niên xung phong</w:t>
            </w:r>
          </w:p>
        </w:tc>
        <w:tc>
          <w:tcPr>
            <w:tcW w:w="2410" w:type="dxa"/>
            <w:shd w:val="clear" w:color="auto" w:fill="auto"/>
            <w:vAlign w:val="center"/>
            <w:hideMark/>
          </w:tcPr>
          <w:p w:rsidR="002269ED" w:rsidRPr="0007734F" w:rsidRDefault="002269ED" w:rsidP="00FA4B15">
            <w:pPr>
              <w:spacing w:before="60" w:after="0" w:line="240" w:lineRule="auto"/>
              <w:jc w:val="center"/>
              <w:rPr>
                <w:rFonts w:eastAsia="Times New Roman"/>
                <w:sz w:val="26"/>
                <w:szCs w:val="26"/>
              </w:rPr>
            </w:pPr>
            <w:r w:rsidRPr="0007734F">
              <w:rPr>
                <w:rFonts w:eastAsia="Times New Roman"/>
                <w:sz w:val="26"/>
                <w:szCs w:val="26"/>
              </w:rPr>
              <w:t>Nghìn đồn</w:t>
            </w:r>
            <w:r w:rsidR="00B27BD0" w:rsidRPr="0007734F">
              <w:rPr>
                <w:rFonts w:eastAsia="Times New Roman"/>
                <w:sz w:val="26"/>
                <w:szCs w:val="26"/>
              </w:rPr>
              <w:t>g/</w:t>
            </w:r>
            <w:r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1260"/>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4</w:t>
            </w:r>
          </w:p>
        </w:tc>
        <w:tc>
          <w:tcPr>
            <w:tcW w:w="5177" w:type="dxa"/>
            <w:shd w:val="clear" w:color="auto" w:fill="auto"/>
            <w:vAlign w:val="center"/>
            <w:hideMark/>
          </w:tcPr>
          <w:p w:rsidR="002269ED"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Cựu chiến binh tham gia kháng chiến từ ngày 30 tháng 4 năm 1975 trở về trước không hưởng lương hưu, trợ cấp bảo hiểm xã hội hàng tháng</w:t>
            </w:r>
          </w:p>
        </w:tc>
        <w:tc>
          <w:tcPr>
            <w:tcW w:w="2410" w:type="dxa"/>
            <w:shd w:val="clear" w:color="auto" w:fill="auto"/>
            <w:vAlign w:val="center"/>
            <w:hideMark/>
          </w:tcPr>
          <w:p w:rsidR="002269ED"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2315"/>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lastRenderedPageBreak/>
              <w:t>5</w:t>
            </w:r>
          </w:p>
        </w:tc>
        <w:tc>
          <w:tcPr>
            <w:tcW w:w="5177" w:type="dxa"/>
            <w:shd w:val="clear" w:color="auto" w:fill="auto"/>
            <w:vAlign w:val="center"/>
            <w:hideMark/>
          </w:tcPr>
          <w:p w:rsidR="002269ED" w:rsidRPr="0007734F" w:rsidRDefault="002269ED" w:rsidP="00174A8B">
            <w:pPr>
              <w:spacing w:before="60" w:after="0" w:line="240" w:lineRule="auto"/>
              <w:jc w:val="both"/>
              <w:rPr>
                <w:rFonts w:eastAsia="Times New Roman"/>
                <w:sz w:val="26"/>
                <w:szCs w:val="26"/>
              </w:rPr>
            </w:pPr>
            <w:r w:rsidRPr="0007734F">
              <w:rPr>
                <w:rFonts w:eastAsia="Times New Roman"/>
                <w:sz w:val="26"/>
                <w:szCs w:val="26"/>
              </w:rPr>
              <w:t>Quân nhân phục viên, xuất ngũ đang hưởng trợ cấp hàng tháng theo Quyết định số 142/2008/QĐ-TTg ngày 27/10/2008 của Thủ tướng Chính phủ; Cán bộ, chiến sĩ Công an nhân dân đang hưởng trợ cấp hàng tháng theo Quyết định số 53/2010/QĐ-TTg ngày 20</w:t>
            </w:r>
            <w:r w:rsidR="00174A8B" w:rsidRPr="0007734F">
              <w:rPr>
                <w:rFonts w:eastAsia="Times New Roman"/>
                <w:sz w:val="26"/>
                <w:szCs w:val="26"/>
              </w:rPr>
              <w:t xml:space="preserve"> tháng 8 năm </w:t>
            </w:r>
            <w:r w:rsidRPr="0007734F">
              <w:rPr>
                <w:rFonts w:eastAsia="Times New Roman"/>
                <w:sz w:val="26"/>
                <w:szCs w:val="26"/>
              </w:rPr>
              <w:t>2010 của Thủ tướng Chính phủ</w:t>
            </w:r>
          </w:p>
        </w:tc>
        <w:tc>
          <w:tcPr>
            <w:tcW w:w="2410" w:type="dxa"/>
            <w:shd w:val="clear" w:color="auto" w:fill="auto"/>
            <w:vAlign w:val="center"/>
            <w:hideMark/>
          </w:tcPr>
          <w:p w:rsidR="002269ED"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2536"/>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6</w:t>
            </w:r>
          </w:p>
        </w:tc>
        <w:tc>
          <w:tcPr>
            <w:tcW w:w="5177" w:type="dxa"/>
            <w:shd w:val="clear" w:color="auto" w:fill="auto"/>
            <w:vAlign w:val="center"/>
            <w:hideMark/>
          </w:tcPr>
          <w:p w:rsidR="002269ED" w:rsidRPr="0007734F" w:rsidRDefault="002269ED" w:rsidP="00FA4B15">
            <w:pPr>
              <w:spacing w:before="60" w:after="0" w:line="240" w:lineRule="auto"/>
              <w:jc w:val="both"/>
              <w:rPr>
                <w:rFonts w:eastAsia="Times New Roman"/>
                <w:sz w:val="26"/>
                <w:szCs w:val="26"/>
              </w:rPr>
            </w:pPr>
            <w:r w:rsidRPr="0007734F">
              <w:rPr>
                <w:rFonts w:eastAsia="Times New Roman"/>
                <w:sz w:val="26"/>
                <w:szCs w:val="26"/>
              </w:rPr>
              <w:t>Người tham gia chiến tranh bảo vệ Tổ quốc, làm nhiệm vụ quốc tế ở Camp</w:t>
            </w:r>
            <w:r w:rsidR="00174A8B" w:rsidRPr="0007734F">
              <w:rPr>
                <w:rFonts w:eastAsia="Times New Roman"/>
                <w:sz w:val="26"/>
                <w:szCs w:val="26"/>
              </w:rPr>
              <w:t xml:space="preserve">uchia, giúp bạn Lào sau ngày 30 tháng 4 năm </w:t>
            </w:r>
            <w:r w:rsidRPr="0007734F">
              <w:rPr>
                <w:rFonts w:eastAsia="Times New Roman"/>
                <w:sz w:val="26"/>
                <w:szCs w:val="26"/>
              </w:rPr>
              <w:t>1975 đã được giải quyết trợ cấp theo Quyết</w:t>
            </w:r>
            <w:r w:rsidR="00174A8B" w:rsidRPr="0007734F">
              <w:rPr>
                <w:rFonts w:eastAsia="Times New Roman"/>
                <w:sz w:val="26"/>
                <w:szCs w:val="26"/>
              </w:rPr>
              <w:t xml:space="preserve"> định số 62/2011/QĐ-TTg ngày 09 tháng 11 năm </w:t>
            </w:r>
            <w:r w:rsidRPr="0007734F">
              <w:rPr>
                <w:rFonts w:eastAsia="Times New Roman"/>
                <w:sz w:val="26"/>
                <w:szCs w:val="26"/>
              </w:rPr>
              <w:t>2011 của Thủ tướng Chính phủ (còn sống), không hưởng chế độ trợ cấp khác theo Pháp lệnh Ưu đãi người có công với cách mạng</w:t>
            </w:r>
          </w:p>
        </w:tc>
        <w:tc>
          <w:tcPr>
            <w:tcW w:w="2410" w:type="dxa"/>
            <w:shd w:val="clear" w:color="auto" w:fill="auto"/>
            <w:vAlign w:val="center"/>
            <w:hideMark/>
          </w:tcPr>
          <w:p w:rsidR="002269ED"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r w:rsidRPr="0007734F">
              <w:rPr>
                <w:rFonts w:eastAsia="Times New Roman"/>
                <w:sz w:val="26"/>
                <w:szCs w:val="26"/>
              </w:rPr>
              <w:t> </w:t>
            </w:r>
          </w:p>
        </w:tc>
      </w:tr>
      <w:tr w:rsidR="00B27BD0" w:rsidRPr="0007734F" w:rsidTr="000E2717">
        <w:trPr>
          <w:trHeight w:val="3395"/>
        </w:trPr>
        <w:tc>
          <w:tcPr>
            <w:tcW w:w="601" w:type="dxa"/>
            <w:shd w:val="clear" w:color="auto" w:fill="auto"/>
            <w:noWrap/>
            <w:vAlign w:val="center"/>
            <w:hideMark/>
          </w:tcPr>
          <w:p w:rsidR="002269ED" w:rsidRPr="0007734F" w:rsidRDefault="009B3D15" w:rsidP="00FA4B15">
            <w:pPr>
              <w:spacing w:before="60" w:after="0" w:line="240" w:lineRule="auto"/>
              <w:jc w:val="center"/>
              <w:rPr>
                <w:rFonts w:eastAsia="Times New Roman"/>
                <w:sz w:val="26"/>
                <w:szCs w:val="26"/>
              </w:rPr>
            </w:pPr>
            <w:r w:rsidRPr="0007734F">
              <w:rPr>
                <w:rFonts w:eastAsia="Times New Roman"/>
                <w:sz w:val="26"/>
                <w:szCs w:val="26"/>
              </w:rPr>
              <w:t>7</w:t>
            </w:r>
          </w:p>
        </w:tc>
        <w:tc>
          <w:tcPr>
            <w:tcW w:w="5177" w:type="dxa"/>
            <w:shd w:val="clear" w:color="auto" w:fill="auto"/>
            <w:vAlign w:val="center"/>
            <w:hideMark/>
          </w:tcPr>
          <w:p w:rsidR="002269ED" w:rsidRPr="0007734F" w:rsidRDefault="002269ED" w:rsidP="00174A8B">
            <w:pPr>
              <w:spacing w:before="60" w:after="0" w:line="240" w:lineRule="auto"/>
              <w:jc w:val="both"/>
              <w:rPr>
                <w:rFonts w:eastAsia="Times New Roman"/>
                <w:sz w:val="26"/>
                <w:szCs w:val="26"/>
              </w:rPr>
            </w:pPr>
            <w:r w:rsidRPr="0007734F">
              <w:rPr>
                <w:rFonts w:eastAsia="Times New Roman"/>
                <w:sz w:val="26"/>
                <w:szCs w:val="26"/>
              </w:rPr>
              <w:t>Người có thành tích tham gia kháng chiến được tặng Bằng khen của Thủ tướng Chính phủ, Bằng khen của Bộ trưởng, Thủ trưởng cơ quan ngang Bộ, Thủ trưởng cơ quan thuộc Chính phủ, Bằng khen của Chủ tịch UBND cấp tỉnh, thành phố được giải quyết trợ cấp theo Quyết định số 24/2016/QĐ-TTg ngày 14</w:t>
            </w:r>
            <w:r w:rsidR="00174A8B" w:rsidRPr="0007734F">
              <w:rPr>
                <w:rFonts w:eastAsia="Times New Roman"/>
                <w:sz w:val="26"/>
                <w:szCs w:val="26"/>
              </w:rPr>
              <w:t xml:space="preserve"> tháng </w:t>
            </w:r>
            <w:r w:rsidRPr="0007734F">
              <w:rPr>
                <w:rFonts w:eastAsia="Times New Roman"/>
                <w:sz w:val="26"/>
                <w:szCs w:val="26"/>
              </w:rPr>
              <w:t>6</w:t>
            </w:r>
            <w:r w:rsidR="00174A8B" w:rsidRPr="0007734F">
              <w:rPr>
                <w:rFonts w:eastAsia="Times New Roman"/>
                <w:sz w:val="26"/>
                <w:szCs w:val="26"/>
              </w:rPr>
              <w:t xml:space="preserve"> năm </w:t>
            </w:r>
            <w:r w:rsidRPr="0007734F">
              <w:rPr>
                <w:rFonts w:eastAsia="Times New Roman"/>
                <w:sz w:val="26"/>
                <w:szCs w:val="26"/>
              </w:rPr>
              <w:t>2016 của Thủ tướng Chính phủ (còn sống), không hưởng lương hưu, trợ cấp bảo hiểm xã hội và trợ cấp khác theo Pháp lệnh Ưu đãi người có công với cách mạng.</w:t>
            </w:r>
          </w:p>
        </w:tc>
        <w:tc>
          <w:tcPr>
            <w:tcW w:w="2410" w:type="dxa"/>
            <w:shd w:val="clear" w:color="auto" w:fill="auto"/>
            <w:vAlign w:val="center"/>
            <w:hideMark/>
          </w:tcPr>
          <w:p w:rsidR="002269ED" w:rsidRPr="0007734F" w:rsidRDefault="00B27BD0" w:rsidP="00FA4B15">
            <w:pPr>
              <w:spacing w:before="60" w:after="0" w:line="240" w:lineRule="auto"/>
              <w:jc w:val="center"/>
              <w:rPr>
                <w:rFonts w:eastAsia="Times New Roman"/>
                <w:sz w:val="26"/>
                <w:szCs w:val="26"/>
              </w:rPr>
            </w:pPr>
            <w:r w:rsidRPr="0007734F">
              <w:rPr>
                <w:rFonts w:eastAsia="Times New Roman"/>
                <w:sz w:val="26"/>
                <w:szCs w:val="26"/>
              </w:rPr>
              <w:t>Nghìn đồng/</w:t>
            </w:r>
            <w:r w:rsidR="002269ED" w:rsidRPr="0007734F">
              <w:rPr>
                <w:rFonts w:eastAsia="Times New Roman"/>
                <w:sz w:val="26"/>
                <w:szCs w:val="26"/>
              </w:rPr>
              <w:t>người</w:t>
            </w:r>
          </w:p>
        </w:tc>
        <w:tc>
          <w:tcPr>
            <w:tcW w:w="992" w:type="dxa"/>
            <w:shd w:val="clear" w:color="auto" w:fill="auto"/>
            <w:noWrap/>
            <w:vAlign w:val="center"/>
            <w:hideMark/>
          </w:tcPr>
          <w:p w:rsidR="002269ED" w:rsidRPr="0007734F" w:rsidRDefault="002269ED" w:rsidP="000E2717">
            <w:pPr>
              <w:spacing w:before="60" w:after="0" w:line="240" w:lineRule="auto"/>
              <w:jc w:val="center"/>
              <w:rPr>
                <w:rFonts w:eastAsia="Times New Roman"/>
                <w:sz w:val="26"/>
                <w:szCs w:val="26"/>
              </w:rPr>
            </w:pPr>
            <w:r w:rsidRPr="0007734F">
              <w:rPr>
                <w:rFonts w:eastAsia="Times New Roman"/>
                <w:sz w:val="26"/>
                <w:szCs w:val="26"/>
              </w:rPr>
              <w:t>550</w:t>
            </w:r>
          </w:p>
        </w:tc>
        <w:tc>
          <w:tcPr>
            <w:tcW w:w="1094" w:type="dxa"/>
            <w:shd w:val="clear" w:color="auto" w:fill="auto"/>
            <w:noWrap/>
            <w:vAlign w:val="center"/>
            <w:hideMark/>
          </w:tcPr>
          <w:p w:rsidR="002269ED" w:rsidRPr="0007734F" w:rsidRDefault="002269ED" w:rsidP="00FA4B15">
            <w:pPr>
              <w:spacing w:before="60" w:after="0" w:line="240" w:lineRule="auto"/>
              <w:rPr>
                <w:rFonts w:eastAsia="Times New Roman"/>
                <w:sz w:val="26"/>
                <w:szCs w:val="26"/>
              </w:rPr>
            </w:pPr>
            <w:r w:rsidRPr="0007734F">
              <w:rPr>
                <w:rFonts w:eastAsia="Times New Roman"/>
                <w:sz w:val="26"/>
                <w:szCs w:val="26"/>
              </w:rPr>
              <w:t> </w:t>
            </w:r>
          </w:p>
        </w:tc>
      </w:tr>
    </w:tbl>
    <w:p w:rsidR="003B7DBC" w:rsidRPr="0007734F" w:rsidRDefault="003B7DBC" w:rsidP="00D03988">
      <w:pPr>
        <w:spacing w:after="0" w:line="240" w:lineRule="auto"/>
        <w:rPr>
          <w:sz w:val="26"/>
          <w:szCs w:val="26"/>
        </w:rPr>
      </w:pPr>
    </w:p>
    <w:p w:rsidR="003B7DBC" w:rsidRDefault="003B7DBC"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Default="00DA34FA" w:rsidP="00D03988">
      <w:pPr>
        <w:spacing w:after="0" w:line="240" w:lineRule="auto"/>
        <w:rPr>
          <w:sz w:val="26"/>
          <w:szCs w:val="26"/>
        </w:rPr>
      </w:pPr>
    </w:p>
    <w:p w:rsidR="00DA34FA" w:rsidRPr="0007734F" w:rsidRDefault="00DA34FA" w:rsidP="00D03988">
      <w:pPr>
        <w:spacing w:after="0" w:line="240" w:lineRule="auto"/>
        <w:rPr>
          <w:sz w:val="26"/>
          <w:szCs w:val="26"/>
        </w:rPr>
      </w:pPr>
    </w:p>
    <w:sectPr w:rsidR="00DA34FA" w:rsidRPr="0007734F" w:rsidSect="002C2D21">
      <w:footerReference w:type="default" r:id="rId6"/>
      <w:pgSz w:w="11907" w:h="16840" w:code="9"/>
      <w:pgMar w:top="1474" w:right="1134" w:bottom="1134" w:left="1134"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75F" w:rsidRDefault="007F175F" w:rsidP="0023510C">
      <w:pPr>
        <w:spacing w:after="0" w:line="240" w:lineRule="auto"/>
      </w:pPr>
      <w:r>
        <w:separator/>
      </w:r>
    </w:p>
  </w:endnote>
  <w:endnote w:type="continuationSeparator" w:id="0">
    <w:p w:rsidR="007F175F" w:rsidRDefault="007F175F" w:rsidP="0023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510C" w:rsidRDefault="0023510C">
    <w:pPr>
      <w:pStyle w:val="Footer"/>
      <w:jc w:val="center"/>
    </w:pPr>
  </w:p>
  <w:p w:rsidR="0023510C" w:rsidRDefault="002351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75F" w:rsidRDefault="007F175F" w:rsidP="0023510C">
      <w:pPr>
        <w:spacing w:after="0" w:line="240" w:lineRule="auto"/>
      </w:pPr>
      <w:r>
        <w:separator/>
      </w:r>
    </w:p>
  </w:footnote>
  <w:footnote w:type="continuationSeparator" w:id="0">
    <w:p w:rsidR="007F175F" w:rsidRDefault="007F175F" w:rsidP="002351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54E"/>
    <w:rsid w:val="00003F40"/>
    <w:rsid w:val="000420CB"/>
    <w:rsid w:val="00062527"/>
    <w:rsid w:val="00065E34"/>
    <w:rsid w:val="000700C4"/>
    <w:rsid w:val="00075C1A"/>
    <w:rsid w:val="0007734F"/>
    <w:rsid w:val="000A4573"/>
    <w:rsid w:val="000B6FC0"/>
    <w:rsid w:val="000C5D33"/>
    <w:rsid w:val="000D1324"/>
    <w:rsid w:val="000D1665"/>
    <w:rsid w:val="000E2717"/>
    <w:rsid w:val="000E3B2B"/>
    <w:rsid w:val="00104D83"/>
    <w:rsid w:val="00105190"/>
    <w:rsid w:val="00106026"/>
    <w:rsid w:val="00141136"/>
    <w:rsid w:val="001609AF"/>
    <w:rsid w:val="00163410"/>
    <w:rsid w:val="00165ADB"/>
    <w:rsid w:val="00174A8B"/>
    <w:rsid w:val="001867FA"/>
    <w:rsid w:val="00187D33"/>
    <w:rsid w:val="001A11F2"/>
    <w:rsid w:val="001D0252"/>
    <w:rsid w:val="001F3345"/>
    <w:rsid w:val="00224051"/>
    <w:rsid w:val="002269ED"/>
    <w:rsid w:val="0023510C"/>
    <w:rsid w:val="0025393F"/>
    <w:rsid w:val="00257592"/>
    <w:rsid w:val="002606FE"/>
    <w:rsid w:val="002B276F"/>
    <w:rsid w:val="002B57D4"/>
    <w:rsid w:val="002B7C6A"/>
    <w:rsid w:val="002C2D21"/>
    <w:rsid w:val="002E42BA"/>
    <w:rsid w:val="002F6526"/>
    <w:rsid w:val="00302C4C"/>
    <w:rsid w:val="00316439"/>
    <w:rsid w:val="00333FB6"/>
    <w:rsid w:val="00361BBE"/>
    <w:rsid w:val="00394923"/>
    <w:rsid w:val="003B0587"/>
    <w:rsid w:val="003B3AD8"/>
    <w:rsid w:val="003B7DBC"/>
    <w:rsid w:val="003F37E8"/>
    <w:rsid w:val="003F3F81"/>
    <w:rsid w:val="00413D61"/>
    <w:rsid w:val="00415D4A"/>
    <w:rsid w:val="00425BF7"/>
    <w:rsid w:val="00434E3A"/>
    <w:rsid w:val="00443525"/>
    <w:rsid w:val="00447BE7"/>
    <w:rsid w:val="004505A3"/>
    <w:rsid w:val="00454487"/>
    <w:rsid w:val="004674B7"/>
    <w:rsid w:val="004B7C45"/>
    <w:rsid w:val="004C03B5"/>
    <w:rsid w:val="004D522C"/>
    <w:rsid w:val="004E02AA"/>
    <w:rsid w:val="004E3E2D"/>
    <w:rsid w:val="004F6978"/>
    <w:rsid w:val="00520F63"/>
    <w:rsid w:val="00561CEC"/>
    <w:rsid w:val="00564F42"/>
    <w:rsid w:val="0058508C"/>
    <w:rsid w:val="0059515C"/>
    <w:rsid w:val="005A74E7"/>
    <w:rsid w:val="005B0264"/>
    <w:rsid w:val="005D4D28"/>
    <w:rsid w:val="005D7E0F"/>
    <w:rsid w:val="006170D8"/>
    <w:rsid w:val="00620A12"/>
    <w:rsid w:val="00625032"/>
    <w:rsid w:val="00641338"/>
    <w:rsid w:val="00645CEA"/>
    <w:rsid w:val="00651B7A"/>
    <w:rsid w:val="006574FE"/>
    <w:rsid w:val="006638D4"/>
    <w:rsid w:val="00680C3E"/>
    <w:rsid w:val="006843F1"/>
    <w:rsid w:val="006A558D"/>
    <w:rsid w:val="006B52C0"/>
    <w:rsid w:val="006B7809"/>
    <w:rsid w:val="006C417A"/>
    <w:rsid w:val="006C532E"/>
    <w:rsid w:val="006E3F3D"/>
    <w:rsid w:val="006F6316"/>
    <w:rsid w:val="0071354E"/>
    <w:rsid w:val="00713E63"/>
    <w:rsid w:val="00732E9A"/>
    <w:rsid w:val="007521EF"/>
    <w:rsid w:val="00767E8E"/>
    <w:rsid w:val="00772A52"/>
    <w:rsid w:val="00794DDA"/>
    <w:rsid w:val="007A2462"/>
    <w:rsid w:val="007C3669"/>
    <w:rsid w:val="007D756D"/>
    <w:rsid w:val="007F175F"/>
    <w:rsid w:val="00805889"/>
    <w:rsid w:val="00814993"/>
    <w:rsid w:val="008167A9"/>
    <w:rsid w:val="00825174"/>
    <w:rsid w:val="00830A13"/>
    <w:rsid w:val="00837B33"/>
    <w:rsid w:val="00847C85"/>
    <w:rsid w:val="00851D19"/>
    <w:rsid w:val="0085345A"/>
    <w:rsid w:val="0085431D"/>
    <w:rsid w:val="00855EEF"/>
    <w:rsid w:val="00855F96"/>
    <w:rsid w:val="00864CEC"/>
    <w:rsid w:val="00873D7B"/>
    <w:rsid w:val="00875D4D"/>
    <w:rsid w:val="008A46A7"/>
    <w:rsid w:val="008A7D2B"/>
    <w:rsid w:val="008B543A"/>
    <w:rsid w:val="008D700A"/>
    <w:rsid w:val="0090542E"/>
    <w:rsid w:val="00910794"/>
    <w:rsid w:val="00914D75"/>
    <w:rsid w:val="00946BBA"/>
    <w:rsid w:val="00947E13"/>
    <w:rsid w:val="00975586"/>
    <w:rsid w:val="009A6FB2"/>
    <w:rsid w:val="009B3D15"/>
    <w:rsid w:val="009B4744"/>
    <w:rsid w:val="009C254F"/>
    <w:rsid w:val="009D227D"/>
    <w:rsid w:val="009D6EBC"/>
    <w:rsid w:val="009E5D71"/>
    <w:rsid w:val="009E6B07"/>
    <w:rsid w:val="009F0EF7"/>
    <w:rsid w:val="009F1789"/>
    <w:rsid w:val="00A1517F"/>
    <w:rsid w:val="00A21879"/>
    <w:rsid w:val="00A25C0F"/>
    <w:rsid w:val="00A40DAE"/>
    <w:rsid w:val="00A45E86"/>
    <w:rsid w:val="00A4618E"/>
    <w:rsid w:val="00A539E3"/>
    <w:rsid w:val="00A55524"/>
    <w:rsid w:val="00A61438"/>
    <w:rsid w:val="00A675C8"/>
    <w:rsid w:val="00A67937"/>
    <w:rsid w:val="00A70CED"/>
    <w:rsid w:val="00A80421"/>
    <w:rsid w:val="00AC08D6"/>
    <w:rsid w:val="00AC2363"/>
    <w:rsid w:val="00AC6B8F"/>
    <w:rsid w:val="00AF3245"/>
    <w:rsid w:val="00AF355C"/>
    <w:rsid w:val="00AF6D2E"/>
    <w:rsid w:val="00B07DA3"/>
    <w:rsid w:val="00B13DAC"/>
    <w:rsid w:val="00B27BD0"/>
    <w:rsid w:val="00B5339D"/>
    <w:rsid w:val="00B6254D"/>
    <w:rsid w:val="00B658AF"/>
    <w:rsid w:val="00B80EE2"/>
    <w:rsid w:val="00BA0D3D"/>
    <w:rsid w:val="00BB6BF6"/>
    <w:rsid w:val="00BE549B"/>
    <w:rsid w:val="00BF582B"/>
    <w:rsid w:val="00C059B3"/>
    <w:rsid w:val="00C07449"/>
    <w:rsid w:val="00C1208A"/>
    <w:rsid w:val="00C260E6"/>
    <w:rsid w:val="00C3598F"/>
    <w:rsid w:val="00C41A03"/>
    <w:rsid w:val="00CC02D0"/>
    <w:rsid w:val="00CC21E0"/>
    <w:rsid w:val="00CC3F3A"/>
    <w:rsid w:val="00CD44D8"/>
    <w:rsid w:val="00CD5EBC"/>
    <w:rsid w:val="00CF69E5"/>
    <w:rsid w:val="00D03988"/>
    <w:rsid w:val="00D12DEB"/>
    <w:rsid w:val="00D205C9"/>
    <w:rsid w:val="00D20D76"/>
    <w:rsid w:val="00D21916"/>
    <w:rsid w:val="00D21B10"/>
    <w:rsid w:val="00D225EB"/>
    <w:rsid w:val="00D31602"/>
    <w:rsid w:val="00D34E73"/>
    <w:rsid w:val="00D35473"/>
    <w:rsid w:val="00D64313"/>
    <w:rsid w:val="00D657BA"/>
    <w:rsid w:val="00D82C27"/>
    <w:rsid w:val="00D831DB"/>
    <w:rsid w:val="00D8436D"/>
    <w:rsid w:val="00D94452"/>
    <w:rsid w:val="00D95424"/>
    <w:rsid w:val="00DA0E04"/>
    <w:rsid w:val="00DA34FA"/>
    <w:rsid w:val="00DA733A"/>
    <w:rsid w:val="00DB109A"/>
    <w:rsid w:val="00DB6C99"/>
    <w:rsid w:val="00DE7871"/>
    <w:rsid w:val="00E00DF4"/>
    <w:rsid w:val="00E3123E"/>
    <w:rsid w:val="00E34039"/>
    <w:rsid w:val="00E368FA"/>
    <w:rsid w:val="00E55A9F"/>
    <w:rsid w:val="00E91B31"/>
    <w:rsid w:val="00EC3811"/>
    <w:rsid w:val="00EE3E2A"/>
    <w:rsid w:val="00EE52B6"/>
    <w:rsid w:val="00EF258E"/>
    <w:rsid w:val="00F0215F"/>
    <w:rsid w:val="00F242BE"/>
    <w:rsid w:val="00F307B8"/>
    <w:rsid w:val="00F36CF0"/>
    <w:rsid w:val="00F636E5"/>
    <w:rsid w:val="00F80190"/>
    <w:rsid w:val="00F81738"/>
    <w:rsid w:val="00F81D02"/>
    <w:rsid w:val="00FA4B15"/>
    <w:rsid w:val="00FB522D"/>
    <w:rsid w:val="00FC4C43"/>
    <w:rsid w:val="00FF2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7A9CB3-EC81-4FDA-B67E-7A6EF39B2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10C"/>
    <w:pPr>
      <w:tabs>
        <w:tab w:val="center" w:pos="4680"/>
        <w:tab w:val="right" w:pos="9360"/>
      </w:tabs>
    </w:pPr>
    <w:rPr>
      <w:lang w:val="x-none" w:eastAsia="x-none"/>
    </w:rPr>
  </w:style>
  <w:style w:type="character" w:customStyle="1" w:styleId="HeaderChar">
    <w:name w:val="Header Char"/>
    <w:link w:val="Header"/>
    <w:uiPriority w:val="99"/>
    <w:rsid w:val="0023510C"/>
    <w:rPr>
      <w:sz w:val="24"/>
      <w:szCs w:val="22"/>
    </w:rPr>
  </w:style>
  <w:style w:type="paragraph" w:styleId="Footer">
    <w:name w:val="footer"/>
    <w:basedOn w:val="Normal"/>
    <w:link w:val="FooterChar"/>
    <w:uiPriority w:val="99"/>
    <w:unhideWhenUsed/>
    <w:rsid w:val="0023510C"/>
    <w:pPr>
      <w:tabs>
        <w:tab w:val="center" w:pos="4680"/>
        <w:tab w:val="right" w:pos="9360"/>
      </w:tabs>
    </w:pPr>
    <w:rPr>
      <w:lang w:val="x-none" w:eastAsia="x-none"/>
    </w:rPr>
  </w:style>
  <w:style w:type="character" w:customStyle="1" w:styleId="FooterChar">
    <w:name w:val="Footer Char"/>
    <w:link w:val="Footer"/>
    <w:uiPriority w:val="99"/>
    <w:rsid w:val="0023510C"/>
    <w:rPr>
      <w:sz w:val="24"/>
      <w:szCs w:val="22"/>
    </w:rPr>
  </w:style>
  <w:style w:type="paragraph" w:styleId="BalloonText">
    <w:name w:val="Balloon Text"/>
    <w:basedOn w:val="Normal"/>
    <w:link w:val="BalloonTextChar"/>
    <w:uiPriority w:val="99"/>
    <w:semiHidden/>
    <w:unhideWhenUsed/>
    <w:rsid w:val="00D0398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039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163922">
      <w:bodyDiv w:val="1"/>
      <w:marLeft w:val="0"/>
      <w:marRight w:val="0"/>
      <w:marTop w:val="0"/>
      <w:marBottom w:val="0"/>
      <w:divBdr>
        <w:top w:val="none" w:sz="0" w:space="0" w:color="auto"/>
        <w:left w:val="none" w:sz="0" w:space="0" w:color="auto"/>
        <w:bottom w:val="none" w:sz="0" w:space="0" w:color="auto"/>
        <w:right w:val="none" w:sz="0" w:space="0" w:color="auto"/>
      </w:divBdr>
    </w:div>
    <w:div w:id="193739613">
      <w:bodyDiv w:val="1"/>
      <w:marLeft w:val="0"/>
      <w:marRight w:val="0"/>
      <w:marTop w:val="0"/>
      <w:marBottom w:val="0"/>
      <w:divBdr>
        <w:top w:val="none" w:sz="0" w:space="0" w:color="auto"/>
        <w:left w:val="none" w:sz="0" w:space="0" w:color="auto"/>
        <w:bottom w:val="none" w:sz="0" w:space="0" w:color="auto"/>
        <w:right w:val="none" w:sz="0" w:space="0" w:color="auto"/>
      </w:divBdr>
    </w:div>
    <w:div w:id="1384135569">
      <w:bodyDiv w:val="1"/>
      <w:marLeft w:val="0"/>
      <w:marRight w:val="0"/>
      <w:marTop w:val="0"/>
      <w:marBottom w:val="0"/>
      <w:divBdr>
        <w:top w:val="none" w:sz="0" w:space="0" w:color="auto"/>
        <w:left w:val="none" w:sz="0" w:space="0" w:color="auto"/>
        <w:bottom w:val="none" w:sz="0" w:space="0" w:color="auto"/>
        <w:right w:val="none" w:sz="0" w:space="0" w:color="auto"/>
      </w:divBdr>
    </w:div>
    <w:div w:id="143714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845</Words>
  <Characters>4822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5656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cp:lastModifiedBy>Truong Cong Nguyen Thanh</cp:lastModifiedBy>
  <cp:revision>2</cp:revision>
  <cp:lastPrinted>2019-12-16T08:09:00Z</cp:lastPrinted>
  <dcterms:created xsi:type="dcterms:W3CDTF">2021-04-13T07:28:00Z</dcterms:created>
  <dcterms:modified xsi:type="dcterms:W3CDTF">2021-04-13T07:28:00Z</dcterms:modified>
</cp:coreProperties>
</file>