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31" w:type="dxa"/>
        <w:tblInd w:w="94" w:type="dxa"/>
        <w:tblLayout w:type="fixed"/>
        <w:tblLook w:val="04A0" w:firstRow="1" w:lastRow="0" w:firstColumn="1" w:lastColumn="0" w:noHBand="0" w:noVBand="1"/>
      </w:tblPr>
      <w:tblGrid>
        <w:gridCol w:w="640"/>
        <w:gridCol w:w="5044"/>
        <w:gridCol w:w="1985"/>
        <w:gridCol w:w="6662"/>
      </w:tblGrid>
      <w:tr w:rsidR="00B6300D" w:rsidRPr="00B6300D">
        <w:trPr>
          <w:trHeight w:val="1605"/>
        </w:trPr>
        <w:tc>
          <w:tcPr>
            <w:tcW w:w="14331" w:type="dxa"/>
            <w:gridSpan w:val="4"/>
            <w:tcBorders>
              <w:top w:val="nil"/>
              <w:left w:val="nil"/>
              <w:bottom w:val="nil"/>
              <w:right w:val="nil"/>
            </w:tcBorders>
            <w:shd w:val="clear" w:color="auto" w:fill="auto"/>
            <w:vAlign w:val="center"/>
          </w:tcPr>
          <w:p w:rsidR="00B6300D" w:rsidRPr="00B6300D" w:rsidRDefault="00B6300D" w:rsidP="00B6300D">
            <w:pPr>
              <w:jc w:val="center"/>
              <w:rPr>
                <w:b/>
                <w:bCs/>
                <w:color w:val="000000"/>
                <w:sz w:val="26"/>
                <w:szCs w:val="26"/>
              </w:rPr>
            </w:pPr>
            <w:bookmarkStart w:id="0" w:name="_GoBack"/>
            <w:bookmarkEnd w:id="0"/>
            <w:r w:rsidRPr="00B6300D">
              <w:rPr>
                <w:b/>
                <w:bCs/>
                <w:color w:val="000000"/>
                <w:sz w:val="26"/>
                <w:szCs w:val="26"/>
              </w:rPr>
              <w:t>Phụ lục</w:t>
            </w:r>
            <w:r w:rsidRPr="00B6300D">
              <w:rPr>
                <w:b/>
                <w:bCs/>
                <w:color w:val="000000"/>
                <w:sz w:val="26"/>
                <w:szCs w:val="26"/>
              </w:rPr>
              <w:br/>
              <w:t xml:space="preserve">MỨC CHI THỰC HIỆN CÁC NHIỆM VỤ CỦA CHƯƠNG TRÌNH MỤC TIÊU ỨNG PHÓ VỚI BIẾN ĐỔI KHÍ HẬU </w:t>
            </w:r>
            <w:r w:rsidRPr="00B6300D">
              <w:rPr>
                <w:b/>
                <w:bCs/>
                <w:color w:val="000000"/>
                <w:sz w:val="26"/>
                <w:szCs w:val="26"/>
              </w:rPr>
              <w:br/>
              <w:t>VÀ TĂNG TRƯỞNG XANH GIAI ĐOẠN 2016-2020 TRÊN ĐỊA BÀN THÀNH PHỐ ĐÀ NẴNG</w:t>
            </w:r>
            <w:r>
              <w:rPr>
                <w:i/>
                <w:iCs/>
                <w:color w:val="000000"/>
                <w:sz w:val="26"/>
                <w:szCs w:val="26"/>
              </w:rPr>
              <w:br/>
              <w:t xml:space="preserve">(Kèm theo Nghị quyết số: 268 /2019/NQ-HĐND  ngày 12  tháng 12 </w:t>
            </w:r>
            <w:r w:rsidRPr="00B6300D">
              <w:rPr>
                <w:i/>
                <w:iCs/>
                <w:color w:val="000000"/>
                <w:sz w:val="26"/>
                <w:szCs w:val="26"/>
              </w:rPr>
              <w:t xml:space="preserve"> năm 2019 của HĐND thành phố Đà Nẵng)</w:t>
            </w:r>
          </w:p>
        </w:tc>
      </w:tr>
      <w:tr w:rsidR="00B6300D" w:rsidRPr="00B6300D">
        <w:trPr>
          <w:trHeight w:val="92"/>
        </w:trPr>
        <w:tc>
          <w:tcPr>
            <w:tcW w:w="640" w:type="dxa"/>
            <w:tcBorders>
              <w:top w:val="nil"/>
              <w:left w:val="nil"/>
              <w:bottom w:val="nil"/>
              <w:right w:val="nil"/>
            </w:tcBorders>
            <w:shd w:val="clear" w:color="auto" w:fill="auto"/>
            <w:noWrap/>
            <w:vAlign w:val="bottom"/>
          </w:tcPr>
          <w:p w:rsidR="00B6300D" w:rsidRPr="00B6300D" w:rsidRDefault="00B6300D" w:rsidP="00B6300D">
            <w:pPr>
              <w:rPr>
                <w:color w:val="000000"/>
                <w:sz w:val="26"/>
                <w:szCs w:val="26"/>
              </w:rPr>
            </w:pPr>
          </w:p>
        </w:tc>
        <w:tc>
          <w:tcPr>
            <w:tcW w:w="5044" w:type="dxa"/>
            <w:tcBorders>
              <w:top w:val="nil"/>
              <w:left w:val="nil"/>
              <w:bottom w:val="nil"/>
              <w:right w:val="nil"/>
            </w:tcBorders>
            <w:shd w:val="clear" w:color="auto" w:fill="auto"/>
            <w:noWrap/>
            <w:vAlign w:val="bottom"/>
          </w:tcPr>
          <w:p w:rsidR="00B6300D" w:rsidRPr="00B6300D" w:rsidRDefault="00B6300D" w:rsidP="00B6300D">
            <w:pPr>
              <w:rPr>
                <w:color w:val="000000"/>
                <w:sz w:val="26"/>
                <w:szCs w:val="26"/>
              </w:rPr>
            </w:pPr>
          </w:p>
        </w:tc>
        <w:tc>
          <w:tcPr>
            <w:tcW w:w="1985" w:type="dxa"/>
            <w:tcBorders>
              <w:top w:val="nil"/>
              <w:left w:val="nil"/>
              <w:bottom w:val="nil"/>
              <w:right w:val="nil"/>
            </w:tcBorders>
            <w:shd w:val="clear" w:color="auto" w:fill="auto"/>
            <w:noWrap/>
            <w:vAlign w:val="bottom"/>
          </w:tcPr>
          <w:p w:rsidR="00B6300D" w:rsidRPr="00B6300D" w:rsidRDefault="00B6300D" w:rsidP="00B6300D">
            <w:pPr>
              <w:rPr>
                <w:color w:val="000000"/>
                <w:sz w:val="26"/>
                <w:szCs w:val="26"/>
              </w:rPr>
            </w:pPr>
          </w:p>
        </w:tc>
        <w:tc>
          <w:tcPr>
            <w:tcW w:w="6662" w:type="dxa"/>
            <w:tcBorders>
              <w:top w:val="nil"/>
              <w:left w:val="nil"/>
              <w:bottom w:val="nil"/>
              <w:right w:val="nil"/>
            </w:tcBorders>
            <w:shd w:val="clear" w:color="auto" w:fill="auto"/>
            <w:noWrap/>
            <w:vAlign w:val="bottom"/>
          </w:tcPr>
          <w:p w:rsidR="00B6300D" w:rsidRPr="00B6300D" w:rsidRDefault="00B6300D" w:rsidP="00B6300D">
            <w:pPr>
              <w:rPr>
                <w:color w:val="000000"/>
                <w:sz w:val="26"/>
                <w:szCs w:val="26"/>
              </w:rPr>
            </w:pPr>
          </w:p>
        </w:tc>
      </w:tr>
      <w:tr w:rsidR="00B6300D" w:rsidRPr="00B6300D">
        <w:trPr>
          <w:trHeight w:val="70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Stt</w:t>
            </w:r>
          </w:p>
        </w:tc>
        <w:tc>
          <w:tcPr>
            <w:tcW w:w="5044" w:type="dxa"/>
            <w:tcBorders>
              <w:top w:val="single" w:sz="4" w:space="0" w:color="auto"/>
              <w:left w:val="nil"/>
              <w:bottom w:val="single" w:sz="4" w:space="0" w:color="auto"/>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Nội dung</w:t>
            </w:r>
          </w:p>
        </w:tc>
        <w:tc>
          <w:tcPr>
            <w:tcW w:w="1985" w:type="dxa"/>
            <w:tcBorders>
              <w:top w:val="single" w:sz="4" w:space="0" w:color="auto"/>
              <w:left w:val="nil"/>
              <w:bottom w:val="single" w:sz="4" w:space="0" w:color="auto"/>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Đơn vị tính</w:t>
            </w:r>
          </w:p>
        </w:tc>
        <w:tc>
          <w:tcPr>
            <w:tcW w:w="6662" w:type="dxa"/>
            <w:tcBorders>
              <w:top w:val="single" w:sz="4" w:space="0" w:color="auto"/>
              <w:left w:val="nil"/>
              <w:bottom w:val="single" w:sz="4" w:space="0" w:color="auto"/>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Mức chi</w:t>
            </w:r>
          </w:p>
        </w:tc>
      </w:tr>
      <w:tr w:rsidR="00B6300D" w:rsidRPr="00B6300D">
        <w:trPr>
          <w:trHeight w:val="148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1</w:t>
            </w:r>
          </w:p>
        </w:tc>
        <w:tc>
          <w:tcPr>
            <w:tcW w:w="5044" w:type="dxa"/>
            <w:tcBorders>
              <w:top w:val="single" w:sz="4" w:space="0" w:color="auto"/>
              <w:left w:val="nil"/>
              <w:bottom w:val="single" w:sz="4" w:space="0" w:color="auto"/>
              <w:right w:val="single" w:sz="4" w:space="0" w:color="auto"/>
            </w:tcBorders>
            <w:shd w:val="clear" w:color="auto" w:fill="auto"/>
            <w:vAlign w:val="center"/>
          </w:tcPr>
          <w:p w:rsidR="00B6300D" w:rsidRPr="00B6300D" w:rsidRDefault="00B6300D" w:rsidP="00B6300D">
            <w:pPr>
              <w:jc w:val="both"/>
              <w:rPr>
                <w:b/>
                <w:bCs/>
                <w:color w:val="000000"/>
                <w:sz w:val="26"/>
                <w:szCs w:val="26"/>
              </w:rPr>
            </w:pPr>
            <w:r w:rsidRPr="00B6300D">
              <w:rPr>
                <w:b/>
                <w:bCs/>
                <w:color w:val="000000"/>
                <w:sz w:val="26"/>
                <w:szCs w:val="26"/>
              </w:rPr>
              <w:t>Điều tra khảo sát và thu thập thông tin</w:t>
            </w:r>
          </w:p>
        </w:tc>
        <w:tc>
          <w:tcPr>
            <w:tcW w:w="1985" w:type="dxa"/>
            <w:tcBorders>
              <w:top w:val="single" w:sz="4" w:space="0" w:color="auto"/>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c>
          <w:tcPr>
            <w:tcW w:w="6662" w:type="dxa"/>
            <w:tcBorders>
              <w:top w:val="single" w:sz="4" w:space="0" w:color="auto"/>
              <w:left w:val="nil"/>
              <w:bottom w:val="single" w:sz="4" w:space="0" w:color="auto"/>
              <w:right w:val="single" w:sz="4" w:space="0" w:color="auto"/>
            </w:tcBorders>
            <w:shd w:val="clear" w:color="auto" w:fill="auto"/>
            <w:vAlign w:val="center"/>
          </w:tcPr>
          <w:p w:rsidR="00B6300D" w:rsidRPr="00B6300D" w:rsidRDefault="00B6300D" w:rsidP="00B6300D">
            <w:pPr>
              <w:rPr>
                <w:color w:val="000000"/>
                <w:sz w:val="26"/>
                <w:szCs w:val="26"/>
              </w:rPr>
            </w:pPr>
            <w:r w:rsidRPr="00B6300D">
              <w:rPr>
                <w:color w:val="000000"/>
                <w:sz w:val="26"/>
                <w:szCs w:val="26"/>
              </w:rPr>
              <w:t>Áp dụng theo mức chi tối đa quy định tại Điều 3 Thông tư số 109/2016/TT-BTC ngày 30/6/2016 của Bộ trưởng Bộ Tài chính quy định lập dự toán, quản lý, sử dụng và quyết toán kinh phí thực hiện các cuộc Điều tra thống kê, Tổng Điều tra thống kê quốc gia.</w:t>
            </w:r>
          </w:p>
        </w:tc>
      </w:tr>
      <w:tr w:rsidR="00B6300D" w:rsidRPr="00B6300D">
        <w:trPr>
          <w:trHeight w:val="844"/>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1.1</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Chi xây dựng phương án Điều tra thống kê và lập mẫu phiếu Điều tra thống kê</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Đồng/phương án</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30,000,000</w:t>
            </w:r>
          </w:p>
        </w:tc>
      </w:tr>
      <w:tr w:rsidR="00B6300D" w:rsidRPr="00B6300D">
        <w:trPr>
          <w:trHeight w:val="132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1.2</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Tiền công thuê ngoài</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Đồng/người/ngày</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rPr>
                <w:color w:val="000000"/>
                <w:sz w:val="26"/>
                <w:szCs w:val="26"/>
              </w:rPr>
            </w:pPr>
            <w:r w:rsidRPr="00B6300D">
              <w:rPr>
                <w:color w:val="000000"/>
                <w:sz w:val="26"/>
                <w:szCs w:val="26"/>
              </w:rPr>
              <w:t xml:space="preserve">Mức tiền công bình quân thuê ngoài để thực hiện các công việc điều tra khảo sát và thu thập thông tin được tính theo mức tiền lương tối thiểu vùng cao nhất tính theo ngày do Nhà nước quy định tại thời Điểm tiến hành Điều tra thống kê </w:t>
            </w:r>
          </w:p>
        </w:tc>
      </w:tr>
      <w:tr w:rsidR="00B6300D" w:rsidRPr="00B6300D">
        <w:trPr>
          <w:trHeight w:val="509"/>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1.3</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Chi cho đối tượng cung cấp thông tin</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r>
      <w:tr w:rsidR="00B6300D" w:rsidRPr="00B6300D">
        <w:trPr>
          <w:trHeight w:val="33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a</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Đối với cá nhân</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r>
      <w:tr w:rsidR="00B6300D" w:rsidRPr="00B6300D">
        <w:trPr>
          <w:trHeight w:val="33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Dưới 30 chỉ tiêu hoặc 30 chỉ tiêu</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Đồng/phiếu</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40,000</w:t>
            </w:r>
          </w:p>
        </w:tc>
      </w:tr>
      <w:tr w:rsidR="00B6300D" w:rsidRPr="00B6300D">
        <w:trPr>
          <w:trHeight w:val="33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Trên 30 chỉ tiêu đến 40 chỉ tiêu</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Đồng/phiếu</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50,000</w:t>
            </w:r>
          </w:p>
        </w:tc>
      </w:tr>
      <w:tr w:rsidR="00B6300D" w:rsidRPr="00B6300D">
        <w:trPr>
          <w:trHeight w:val="33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Trên 40 chỉ tiêu</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Đồng/phiếu</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60,000</w:t>
            </w:r>
          </w:p>
        </w:tc>
      </w:tr>
      <w:tr w:rsidR="00B6300D" w:rsidRPr="00B6300D">
        <w:trPr>
          <w:trHeight w:val="277"/>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b</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Đối với tổ chức</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r>
      <w:tr w:rsidR="00B6300D" w:rsidRPr="00B6300D">
        <w:trPr>
          <w:trHeight w:val="33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Dưới 30 chỉ tiêu hoặc 30 chỉ tiêu</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Đồng/phiếu</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85,000</w:t>
            </w:r>
          </w:p>
        </w:tc>
      </w:tr>
      <w:tr w:rsidR="00B6300D" w:rsidRPr="00B6300D">
        <w:trPr>
          <w:trHeight w:val="33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Trên 30 chỉ tiêu đến 40 chỉ tiêu</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Đồng/phiếu</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100,000</w:t>
            </w:r>
          </w:p>
        </w:tc>
      </w:tr>
      <w:tr w:rsidR="00B6300D" w:rsidRPr="00B6300D">
        <w:trPr>
          <w:trHeight w:val="33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Trên 40 chỉ tiêu</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Đồng/phiếu</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115,000</w:t>
            </w:r>
          </w:p>
        </w:tc>
      </w:tr>
      <w:tr w:rsidR="00B6300D" w:rsidRPr="00B6300D">
        <w:trPr>
          <w:trHeight w:val="164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lastRenderedPageBreak/>
              <w:t>2</w:t>
            </w:r>
          </w:p>
        </w:tc>
        <w:tc>
          <w:tcPr>
            <w:tcW w:w="5044" w:type="dxa"/>
            <w:tcBorders>
              <w:top w:val="single" w:sz="4" w:space="0" w:color="auto"/>
              <w:left w:val="nil"/>
              <w:bottom w:val="single" w:sz="4" w:space="0" w:color="auto"/>
              <w:right w:val="single" w:sz="4" w:space="0" w:color="auto"/>
            </w:tcBorders>
            <w:shd w:val="clear" w:color="auto" w:fill="auto"/>
            <w:vAlign w:val="center"/>
          </w:tcPr>
          <w:p w:rsidR="00B6300D" w:rsidRPr="00B6300D" w:rsidRDefault="00B6300D" w:rsidP="00B6300D">
            <w:pPr>
              <w:jc w:val="both"/>
              <w:rPr>
                <w:b/>
                <w:bCs/>
                <w:color w:val="000000"/>
                <w:sz w:val="26"/>
                <w:szCs w:val="26"/>
              </w:rPr>
            </w:pPr>
            <w:r w:rsidRPr="00B6300D">
              <w:rPr>
                <w:b/>
                <w:bCs/>
                <w:color w:val="000000"/>
                <w:sz w:val="26"/>
                <w:szCs w:val="26"/>
              </w:rPr>
              <w:t>Chi báo cáo tổng kết (Báo cáo kết quả điều tra thống kê; đánh giá tác động của biến đổi khí hậu; xây dựng các báo cáo tổng hợp; xây dựng kịch bản, giải pháp; đánh giá lựa chọn giải pháp;…)</w:t>
            </w:r>
          </w:p>
        </w:tc>
        <w:tc>
          <w:tcPr>
            <w:tcW w:w="1985" w:type="dxa"/>
            <w:tcBorders>
              <w:top w:val="single" w:sz="4" w:space="0" w:color="auto"/>
              <w:left w:val="nil"/>
              <w:bottom w:val="single" w:sz="4" w:space="0" w:color="auto"/>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 </w:t>
            </w:r>
          </w:p>
        </w:tc>
        <w:tc>
          <w:tcPr>
            <w:tcW w:w="6662" w:type="dxa"/>
            <w:tcBorders>
              <w:top w:val="single" w:sz="4" w:space="0" w:color="auto"/>
              <w:left w:val="nil"/>
              <w:bottom w:val="single" w:sz="4" w:space="0" w:color="auto"/>
              <w:right w:val="single" w:sz="4" w:space="0" w:color="auto"/>
            </w:tcBorders>
            <w:shd w:val="clear" w:color="auto" w:fill="auto"/>
            <w:vAlign w:val="center"/>
          </w:tcPr>
          <w:p w:rsidR="00B6300D" w:rsidRPr="00B6300D" w:rsidRDefault="00B6300D" w:rsidP="00B6300D">
            <w:pPr>
              <w:rPr>
                <w:color w:val="000000"/>
                <w:sz w:val="26"/>
                <w:szCs w:val="26"/>
              </w:rPr>
            </w:pPr>
            <w:r w:rsidRPr="00B6300D">
              <w:rPr>
                <w:color w:val="000000"/>
                <w:sz w:val="26"/>
                <w:szCs w:val="26"/>
              </w:rPr>
              <w:t>Áp dụng theo mức chi tối đa quy định tại Mục 5 Phụ lục 1 Thông tư số 02/2017/TT-BTC ngày 06/01/2017 của Bộ trưởng Bộ Tài chính hướng dẫn quản lý kinh phí sự nghiệp bảo vệ môi trường.</w:t>
            </w:r>
          </w:p>
        </w:tc>
      </w:tr>
      <w:tr w:rsidR="00B6300D" w:rsidRPr="00B6300D">
        <w:trPr>
          <w:trHeight w:val="33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a</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Nhiệm vụ</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Đồng/báo cáo</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5,000,000</w:t>
            </w:r>
          </w:p>
        </w:tc>
      </w:tr>
      <w:tr w:rsidR="00B6300D" w:rsidRPr="00B6300D">
        <w:trPr>
          <w:trHeight w:val="330"/>
        </w:trPr>
        <w:tc>
          <w:tcPr>
            <w:tcW w:w="640" w:type="dxa"/>
            <w:tcBorders>
              <w:top w:val="nil"/>
              <w:left w:val="single" w:sz="4" w:space="0" w:color="auto"/>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b</w:t>
            </w:r>
          </w:p>
        </w:tc>
        <w:tc>
          <w:tcPr>
            <w:tcW w:w="5044"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both"/>
              <w:rPr>
                <w:color w:val="000000"/>
                <w:sz w:val="26"/>
                <w:szCs w:val="26"/>
              </w:rPr>
            </w:pPr>
            <w:r w:rsidRPr="00B6300D">
              <w:rPr>
                <w:color w:val="000000"/>
                <w:sz w:val="26"/>
                <w:szCs w:val="26"/>
              </w:rPr>
              <w:t>Dự án</w:t>
            </w:r>
          </w:p>
        </w:tc>
        <w:tc>
          <w:tcPr>
            <w:tcW w:w="1985"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Đồng/báo cáo</w:t>
            </w:r>
          </w:p>
        </w:tc>
        <w:tc>
          <w:tcPr>
            <w:tcW w:w="6662" w:type="dxa"/>
            <w:tcBorders>
              <w:top w:val="nil"/>
              <w:left w:val="nil"/>
              <w:bottom w:val="single" w:sz="4" w:space="0" w:color="auto"/>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15,000,000</w:t>
            </w:r>
          </w:p>
        </w:tc>
      </w:tr>
      <w:tr w:rsidR="00B6300D" w:rsidRPr="00B6300D">
        <w:trPr>
          <w:trHeight w:val="1236"/>
        </w:trPr>
        <w:tc>
          <w:tcPr>
            <w:tcW w:w="640" w:type="dxa"/>
            <w:tcBorders>
              <w:top w:val="nil"/>
              <w:left w:val="single" w:sz="4" w:space="0" w:color="auto"/>
              <w:bottom w:val="nil"/>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3</w:t>
            </w:r>
          </w:p>
        </w:tc>
        <w:tc>
          <w:tcPr>
            <w:tcW w:w="5044" w:type="dxa"/>
            <w:tcBorders>
              <w:top w:val="nil"/>
              <w:left w:val="nil"/>
              <w:bottom w:val="nil"/>
              <w:right w:val="single" w:sz="4" w:space="0" w:color="auto"/>
            </w:tcBorders>
            <w:shd w:val="clear" w:color="auto" w:fill="auto"/>
            <w:vAlign w:val="center"/>
          </w:tcPr>
          <w:p w:rsidR="00B6300D" w:rsidRPr="00B6300D" w:rsidRDefault="00B6300D" w:rsidP="00B6300D">
            <w:pPr>
              <w:jc w:val="both"/>
              <w:rPr>
                <w:b/>
                <w:bCs/>
                <w:color w:val="000000"/>
                <w:sz w:val="26"/>
                <w:szCs w:val="26"/>
              </w:rPr>
            </w:pPr>
            <w:r w:rsidRPr="00B6300D">
              <w:rPr>
                <w:b/>
                <w:bCs/>
                <w:color w:val="000000"/>
                <w:sz w:val="26"/>
                <w:szCs w:val="26"/>
              </w:rPr>
              <w:t>Chi công tác phí; chi tổ chức hội nghị, hội thảo</w:t>
            </w:r>
          </w:p>
        </w:tc>
        <w:tc>
          <w:tcPr>
            <w:tcW w:w="1985" w:type="dxa"/>
            <w:tcBorders>
              <w:top w:val="nil"/>
              <w:left w:val="nil"/>
              <w:bottom w:val="nil"/>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c>
          <w:tcPr>
            <w:tcW w:w="6662" w:type="dxa"/>
            <w:tcBorders>
              <w:top w:val="nil"/>
              <w:left w:val="nil"/>
              <w:bottom w:val="nil"/>
              <w:right w:val="single" w:sz="4" w:space="0" w:color="auto"/>
            </w:tcBorders>
            <w:shd w:val="clear" w:color="auto" w:fill="auto"/>
            <w:vAlign w:val="center"/>
          </w:tcPr>
          <w:p w:rsidR="00B6300D" w:rsidRPr="00B6300D" w:rsidRDefault="00B6300D" w:rsidP="00B6300D">
            <w:pPr>
              <w:rPr>
                <w:color w:val="000000"/>
                <w:sz w:val="26"/>
                <w:szCs w:val="26"/>
              </w:rPr>
            </w:pPr>
            <w:r w:rsidRPr="00B6300D">
              <w:rPr>
                <w:color w:val="000000"/>
                <w:sz w:val="26"/>
                <w:szCs w:val="26"/>
              </w:rPr>
              <w:t>Áp dụng theo Nghị quyết số 95/2017/NQ-HĐND ngày 07/7/2017 của HĐND thành phố quy định mức chi công tác phí, chi tổ chức các cuộc hội nghị đối với các cơ quan nhà nước và đơn vị sự nghiệp công lập trên địa bàn thành phố Đà Nẵng.</w:t>
            </w:r>
          </w:p>
        </w:tc>
      </w:tr>
      <w:tr w:rsidR="00B6300D" w:rsidRPr="00B6300D">
        <w:trPr>
          <w:trHeight w:val="3270"/>
        </w:trPr>
        <w:tc>
          <w:tcPr>
            <w:tcW w:w="640" w:type="dxa"/>
            <w:tcBorders>
              <w:top w:val="single" w:sz="4" w:space="0" w:color="auto"/>
              <w:left w:val="single" w:sz="4" w:space="0" w:color="auto"/>
              <w:bottom w:val="nil"/>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4</w:t>
            </w:r>
          </w:p>
        </w:tc>
        <w:tc>
          <w:tcPr>
            <w:tcW w:w="5044" w:type="dxa"/>
            <w:tcBorders>
              <w:top w:val="single" w:sz="4" w:space="0" w:color="auto"/>
              <w:left w:val="nil"/>
              <w:bottom w:val="nil"/>
              <w:right w:val="single" w:sz="4" w:space="0" w:color="auto"/>
            </w:tcBorders>
            <w:shd w:val="clear" w:color="auto" w:fill="auto"/>
            <w:vAlign w:val="center"/>
          </w:tcPr>
          <w:p w:rsidR="00B6300D" w:rsidRPr="00B6300D" w:rsidRDefault="00B6300D" w:rsidP="00B6300D">
            <w:pPr>
              <w:jc w:val="both"/>
              <w:rPr>
                <w:b/>
                <w:bCs/>
                <w:color w:val="000000"/>
                <w:sz w:val="26"/>
                <w:szCs w:val="26"/>
              </w:rPr>
            </w:pPr>
            <w:r w:rsidRPr="00B6300D">
              <w:rPr>
                <w:b/>
                <w:bCs/>
                <w:color w:val="000000"/>
                <w:sz w:val="26"/>
                <w:szCs w:val="26"/>
              </w:rPr>
              <w:t>Chi tạo lập thông tin, cơ sở dữ liệu</w:t>
            </w:r>
          </w:p>
        </w:tc>
        <w:tc>
          <w:tcPr>
            <w:tcW w:w="1985" w:type="dxa"/>
            <w:tcBorders>
              <w:top w:val="single" w:sz="4" w:space="0" w:color="auto"/>
              <w:left w:val="nil"/>
              <w:bottom w:val="nil"/>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c>
          <w:tcPr>
            <w:tcW w:w="6662" w:type="dxa"/>
            <w:tcBorders>
              <w:top w:val="single" w:sz="4" w:space="0" w:color="auto"/>
              <w:left w:val="nil"/>
              <w:bottom w:val="nil"/>
              <w:right w:val="single" w:sz="4" w:space="0" w:color="auto"/>
            </w:tcBorders>
            <w:shd w:val="clear" w:color="auto" w:fill="auto"/>
            <w:vAlign w:val="center"/>
          </w:tcPr>
          <w:p w:rsidR="00B6300D" w:rsidRPr="00B6300D" w:rsidRDefault="00B6300D" w:rsidP="00B6300D">
            <w:pPr>
              <w:rPr>
                <w:color w:val="000000"/>
                <w:sz w:val="26"/>
                <w:szCs w:val="26"/>
              </w:rPr>
            </w:pPr>
            <w:r w:rsidRPr="00B6300D">
              <w:rPr>
                <w:color w:val="000000"/>
                <w:sz w:val="26"/>
                <w:szCs w:val="26"/>
              </w:rPr>
              <w:t>Áp dụng theo quy định tại Thông tư liên tịch số 19/2012/TTLT-BTC-BKHĐT-BTTTT ngày 15/02/2012 của Liên Bộ Tài chính - Bộ Kế hoạch và Đầu tư - Bộ Thông tin và Truyền thông hướng dẫn việc quản lý, sử dụng kinh phí chi ứng dụng công nghệ thông tin trong hoạt động của cơ quan nhà nước và Mức chi tối đa quy định tại Thông tư số 194/2012/TT-BTC ngày 15/11/2012 của Bộ trưởng Bộ Tài chính quy định nội dung chi, mức chi cho việc tạo lập, chuyển đổi thông tin điện tử, số hoá thông tin trên môi trường mạng phục vụ hoạt động thường xuyên của cơ quan, đơn vị sử dụng ngân sách nhà nước.</w:t>
            </w:r>
          </w:p>
        </w:tc>
      </w:tr>
      <w:tr w:rsidR="00B6300D" w:rsidRPr="00B6300D">
        <w:trPr>
          <w:trHeight w:val="13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5</w:t>
            </w:r>
          </w:p>
        </w:tc>
        <w:tc>
          <w:tcPr>
            <w:tcW w:w="5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300D" w:rsidRPr="00B6300D" w:rsidRDefault="00B6300D" w:rsidP="00B6300D">
            <w:pPr>
              <w:jc w:val="center"/>
              <w:rPr>
                <w:b/>
                <w:bCs/>
                <w:color w:val="000000"/>
                <w:sz w:val="26"/>
                <w:szCs w:val="26"/>
              </w:rPr>
            </w:pPr>
            <w:r w:rsidRPr="00B6300D">
              <w:rPr>
                <w:b/>
                <w:bCs/>
                <w:color w:val="000000"/>
                <w:sz w:val="26"/>
                <w:szCs w:val="26"/>
              </w:rPr>
              <w:t>Biên dịch tài liệu nước ngoài</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300D" w:rsidRPr="00B6300D" w:rsidRDefault="00B6300D" w:rsidP="00B6300D">
            <w:pPr>
              <w:jc w:val="center"/>
              <w:rPr>
                <w:color w:val="000000"/>
                <w:sz w:val="26"/>
                <w:szCs w:val="26"/>
              </w:rPr>
            </w:pPr>
            <w:r w:rsidRPr="00B6300D">
              <w:rPr>
                <w:color w:val="000000"/>
                <w:sz w:val="26"/>
                <w:szCs w:val="26"/>
              </w:rPr>
              <w:t> </w:t>
            </w:r>
          </w:p>
        </w:tc>
        <w:tc>
          <w:tcPr>
            <w:tcW w:w="66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300D" w:rsidRPr="00B6300D" w:rsidRDefault="00B6300D" w:rsidP="00B6300D">
            <w:pPr>
              <w:rPr>
                <w:color w:val="000000"/>
                <w:sz w:val="26"/>
                <w:szCs w:val="26"/>
              </w:rPr>
            </w:pPr>
            <w:r w:rsidRPr="00B6300D">
              <w:rPr>
                <w:color w:val="000000"/>
                <w:sz w:val="26"/>
                <w:szCs w:val="26"/>
              </w:rPr>
              <w:t>Áp dụng theo Nghị quyết số 240/2019/NQ-HĐND ngày 11/7/2019 của HĐND thành phố quy định mức chi tiếp khách nước ngoài vào làm việc tại thành phố Đà Nẵng, tổ chức hội nghị, hội thảo quốc tế và tiếp khách trong nước trên địa bàn thành phố Đà Nẵng.</w:t>
            </w:r>
          </w:p>
        </w:tc>
      </w:tr>
      <w:tr w:rsidR="00B6300D" w:rsidRPr="00B6300D">
        <w:trPr>
          <w:trHeight w:val="330"/>
        </w:trPr>
        <w:tc>
          <w:tcPr>
            <w:tcW w:w="640" w:type="dxa"/>
            <w:vMerge/>
            <w:tcBorders>
              <w:top w:val="single" w:sz="4" w:space="0" w:color="auto"/>
              <w:left w:val="single" w:sz="4" w:space="0" w:color="auto"/>
              <w:bottom w:val="single" w:sz="4" w:space="0" w:color="000000"/>
              <w:right w:val="single" w:sz="4" w:space="0" w:color="auto"/>
            </w:tcBorders>
            <w:vAlign w:val="center"/>
          </w:tcPr>
          <w:p w:rsidR="00B6300D" w:rsidRPr="00B6300D" w:rsidRDefault="00B6300D" w:rsidP="00B6300D">
            <w:pPr>
              <w:rPr>
                <w:b/>
                <w:bCs/>
                <w:color w:val="000000"/>
                <w:sz w:val="26"/>
                <w:szCs w:val="26"/>
              </w:rPr>
            </w:pPr>
          </w:p>
        </w:tc>
        <w:tc>
          <w:tcPr>
            <w:tcW w:w="5044" w:type="dxa"/>
            <w:vMerge/>
            <w:tcBorders>
              <w:top w:val="single" w:sz="4" w:space="0" w:color="auto"/>
              <w:left w:val="single" w:sz="4" w:space="0" w:color="auto"/>
              <w:bottom w:val="single" w:sz="4" w:space="0" w:color="000000"/>
              <w:right w:val="single" w:sz="4" w:space="0" w:color="auto"/>
            </w:tcBorders>
            <w:vAlign w:val="center"/>
          </w:tcPr>
          <w:p w:rsidR="00B6300D" w:rsidRPr="00B6300D" w:rsidRDefault="00B6300D" w:rsidP="00B6300D">
            <w:pPr>
              <w:rPr>
                <w:b/>
                <w:bCs/>
                <w:color w:val="000000"/>
                <w:sz w:val="26"/>
                <w:szCs w:val="26"/>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B6300D" w:rsidRPr="00B6300D" w:rsidRDefault="00B6300D" w:rsidP="00B6300D">
            <w:pPr>
              <w:rPr>
                <w:color w:val="000000"/>
                <w:sz w:val="26"/>
                <w:szCs w:val="26"/>
              </w:rPr>
            </w:pPr>
          </w:p>
        </w:tc>
        <w:tc>
          <w:tcPr>
            <w:tcW w:w="6662" w:type="dxa"/>
            <w:vMerge/>
            <w:tcBorders>
              <w:top w:val="single" w:sz="4" w:space="0" w:color="auto"/>
              <w:left w:val="single" w:sz="4" w:space="0" w:color="auto"/>
              <w:bottom w:val="single" w:sz="4" w:space="0" w:color="000000"/>
              <w:right w:val="single" w:sz="4" w:space="0" w:color="auto"/>
            </w:tcBorders>
            <w:vAlign w:val="center"/>
          </w:tcPr>
          <w:p w:rsidR="00B6300D" w:rsidRPr="00B6300D" w:rsidRDefault="00B6300D" w:rsidP="00B6300D">
            <w:pPr>
              <w:rPr>
                <w:color w:val="000000"/>
                <w:sz w:val="26"/>
                <w:szCs w:val="26"/>
              </w:rPr>
            </w:pPr>
          </w:p>
        </w:tc>
      </w:tr>
    </w:tbl>
    <w:p w:rsidR="000B0D37" w:rsidRPr="00B6300D" w:rsidRDefault="00E648B0" w:rsidP="00B6300D">
      <w:pPr>
        <w:rPr>
          <w:szCs w:val="22"/>
        </w:rPr>
      </w:pPr>
      <w:r w:rsidRPr="00B6300D">
        <w:rPr>
          <w:szCs w:val="22"/>
        </w:rPr>
        <w:t xml:space="preserve"> </w:t>
      </w:r>
    </w:p>
    <w:sectPr w:rsidR="000B0D37" w:rsidRPr="00B6300D" w:rsidSect="00B6300D">
      <w:footerReference w:type="even" r:id="rId7"/>
      <w:pgSz w:w="16840" w:h="11907" w:orient="landscape" w:code="9"/>
      <w:pgMar w:top="1134" w:right="147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21" w:rsidRDefault="007D3D21">
      <w:r>
        <w:separator/>
      </w:r>
    </w:p>
  </w:endnote>
  <w:endnote w:type="continuationSeparator" w:id="0">
    <w:p w:rsidR="007D3D21" w:rsidRDefault="007D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21" w:rsidRDefault="007D3D21">
      <w:r>
        <w:separator/>
      </w:r>
    </w:p>
  </w:footnote>
  <w:footnote w:type="continuationSeparator" w:id="0">
    <w:p w:rsidR="007D3D21" w:rsidRDefault="007D3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0FED"/>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3D21"/>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3318"/>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E6AE0"/>
    <w:rsid w:val="00AF238D"/>
    <w:rsid w:val="00AF2B99"/>
    <w:rsid w:val="00AF5ACF"/>
    <w:rsid w:val="00B00468"/>
    <w:rsid w:val="00B0266D"/>
    <w:rsid w:val="00B03936"/>
    <w:rsid w:val="00B12F1D"/>
    <w:rsid w:val="00B1357E"/>
    <w:rsid w:val="00B144B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300D"/>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443B"/>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59EFC5-8000-45FE-9FE9-ABE8AB2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2021-04-13T07:10:00Z</dcterms:created>
  <dcterms:modified xsi:type="dcterms:W3CDTF">2021-04-13T07:10:00Z</dcterms:modified>
</cp:coreProperties>
</file>