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285"/>
        <w:tblW w:w="10190" w:type="dxa"/>
        <w:tblLayout w:type="fixed"/>
        <w:tblLook w:val="0000" w:firstRow="0" w:lastRow="0" w:firstColumn="0" w:lastColumn="0" w:noHBand="0" w:noVBand="0"/>
      </w:tblPr>
      <w:tblGrid>
        <w:gridCol w:w="3955"/>
        <w:gridCol w:w="6235"/>
      </w:tblGrid>
      <w:tr w:rsidR="00770057" w:rsidRPr="00945CC2" w:rsidTr="005E7692">
        <w:tblPrEx>
          <w:tblCellMar>
            <w:top w:w="0" w:type="dxa"/>
            <w:bottom w:w="0" w:type="dxa"/>
          </w:tblCellMar>
        </w:tblPrEx>
        <w:trPr>
          <w:trHeight w:val="720"/>
        </w:trPr>
        <w:tc>
          <w:tcPr>
            <w:tcW w:w="3955" w:type="dxa"/>
          </w:tcPr>
          <w:p w:rsidR="00770057" w:rsidRPr="00E45378" w:rsidRDefault="00A90826" w:rsidP="005E7692">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2729B1" w:rsidP="005E7692">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785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235" w:type="dxa"/>
          </w:tcPr>
          <w:p w:rsidR="00770057" w:rsidRPr="00945CC2" w:rsidRDefault="00EC346C" w:rsidP="005E7692">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2729B1" w:rsidP="005E7692">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4A6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rsidTr="005E7692">
        <w:tblPrEx>
          <w:tblCellMar>
            <w:top w:w="0" w:type="dxa"/>
            <w:bottom w:w="0" w:type="dxa"/>
          </w:tblCellMar>
        </w:tblPrEx>
        <w:trPr>
          <w:trHeight w:val="404"/>
        </w:trPr>
        <w:tc>
          <w:tcPr>
            <w:tcW w:w="3955" w:type="dxa"/>
          </w:tcPr>
          <w:p w:rsidR="008552FC" w:rsidRPr="008552FC" w:rsidRDefault="00A90826" w:rsidP="005E7692">
            <w:pPr>
              <w:spacing w:before="60" w:after="20"/>
              <w:ind w:left="-284" w:right="288"/>
              <w:rPr>
                <w:b/>
                <w:sz w:val="26"/>
              </w:rPr>
            </w:pPr>
            <w:r>
              <w:rPr>
                <w:sz w:val="28"/>
                <w:szCs w:val="28"/>
              </w:rPr>
              <w:t xml:space="preserve">  </w:t>
            </w:r>
            <w:r w:rsidR="00B40F29">
              <w:rPr>
                <w:sz w:val="28"/>
                <w:szCs w:val="28"/>
              </w:rPr>
              <w:t xml:space="preserve"> </w:t>
            </w:r>
            <w:r w:rsidR="00204BAA">
              <w:rPr>
                <w:sz w:val="28"/>
                <w:szCs w:val="28"/>
              </w:rPr>
              <w:t xml:space="preserve">  </w:t>
            </w:r>
            <w:r w:rsidR="008552FC" w:rsidRPr="008552FC">
              <w:rPr>
                <w:sz w:val="28"/>
                <w:szCs w:val="28"/>
              </w:rPr>
              <w:t>Số:</w:t>
            </w:r>
            <w:r w:rsidR="006B7856">
              <w:rPr>
                <w:sz w:val="28"/>
                <w:szCs w:val="28"/>
              </w:rPr>
              <w:t>44</w:t>
            </w:r>
            <w:r w:rsidR="003E480E">
              <w:rPr>
                <w:sz w:val="28"/>
                <w:szCs w:val="28"/>
              </w:rPr>
              <w:t>/</w:t>
            </w:r>
            <w:r w:rsidR="00D30D0D">
              <w:rPr>
                <w:sz w:val="28"/>
                <w:szCs w:val="28"/>
              </w:rPr>
              <w:t>201</w:t>
            </w:r>
            <w:r w:rsidR="00C97837">
              <w:rPr>
                <w:sz w:val="28"/>
                <w:szCs w:val="28"/>
              </w:rPr>
              <w:t>9</w:t>
            </w:r>
            <w:r w:rsidR="00D30D0D">
              <w:rPr>
                <w:sz w:val="28"/>
                <w:szCs w:val="28"/>
              </w:rPr>
              <w:t>/</w:t>
            </w:r>
            <w:r w:rsidR="008552FC" w:rsidRPr="008552FC">
              <w:rPr>
                <w:sz w:val="28"/>
                <w:szCs w:val="28"/>
              </w:rPr>
              <w:t>QĐ-UBND</w:t>
            </w:r>
          </w:p>
        </w:tc>
        <w:tc>
          <w:tcPr>
            <w:tcW w:w="6235" w:type="dxa"/>
          </w:tcPr>
          <w:p w:rsidR="008552FC" w:rsidRPr="008552FC" w:rsidRDefault="005122C9" w:rsidP="005E7692">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6B7856">
              <w:rPr>
                <w:i/>
                <w:sz w:val="28"/>
                <w:szCs w:val="28"/>
              </w:rPr>
              <w:t xml:space="preserve"> 15</w:t>
            </w:r>
            <w:r w:rsidR="003A6752">
              <w:rPr>
                <w:i/>
                <w:sz w:val="28"/>
                <w:szCs w:val="28"/>
              </w:rPr>
              <w:t xml:space="preserve"> </w:t>
            </w:r>
            <w:r w:rsidR="008552FC" w:rsidRPr="008552FC">
              <w:rPr>
                <w:i/>
                <w:sz w:val="28"/>
                <w:szCs w:val="28"/>
              </w:rPr>
              <w:t>tháng</w:t>
            </w:r>
            <w:r w:rsidR="00A46B4B">
              <w:rPr>
                <w:i/>
                <w:sz w:val="28"/>
                <w:szCs w:val="28"/>
              </w:rPr>
              <w:t xml:space="preserve"> </w:t>
            </w:r>
            <w:r w:rsidR="006B7856">
              <w:rPr>
                <w:i/>
                <w:sz w:val="28"/>
                <w:szCs w:val="28"/>
              </w:rPr>
              <w:t>10</w:t>
            </w:r>
            <w:r w:rsidR="003A6752">
              <w:rPr>
                <w:i/>
                <w:sz w:val="28"/>
                <w:szCs w:val="28"/>
              </w:rPr>
              <w:t xml:space="preserve"> </w:t>
            </w:r>
            <w:r w:rsidR="008552FC" w:rsidRPr="008552FC">
              <w:rPr>
                <w:i/>
                <w:sz w:val="28"/>
                <w:szCs w:val="28"/>
              </w:rPr>
              <w:t>năm 201</w:t>
            </w:r>
            <w:r w:rsidR="00C97837">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6B7856" w:rsidRDefault="006B7856" w:rsidP="006B7856">
      <w:pPr>
        <w:jc w:val="center"/>
        <w:rPr>
          <w:b/>
          <w:bCs/>
          <w:sz w:val="28"/>
          <w:szCs w:val="28"/>
        </w:rPr>
      </w:pPr>
      <w:r>
        <w:rPr>
          <w:b/>
          <w:bCs/>
          <w:sz w:val="28"/>
          <w:szCs w:val="28"/>
        </w:rPr>
        <w:t>Quy định tiêu chuẩn, định mức diện tích chuyên dùng</w:t>
      </w:r>
    </w:p>
    <w:p w:rsidR="006B7856" w:rsidRDefault="006B7856" w:rsidP="006B7856">
      <w:pPr>
        <w:jc w:val="center"/>
        <w:rPr>
          <w:b/>
          <w:bCs/>
          <w:sz w:val="28"/>
          <w:szCs w:val="28"/>
        </w:rPr>
      </w:pPr>
      <w:r>
        <w:rPr>
          <w:b/>
          <w:bCs/>
          <w:sz w:val="28"/>
          <w:szCs w:val="28"/>
        </w:rPr>
        <w:t xml:space="preserve"> nhà làm việc thuộc trụ sở làm việc của cơ quan, tổ chức;</w:t>
      </w:r>
    </w:p>
    <w:p w:rsidR="006B7856" w:rsidRDefault="006B7856" w:rsidP="006B7856">
      <w:pPr>
        <w:jc w:val="center"/>
        <w:rPr>
          <w:b/>
          <w:bCs/>
          <w:sz w:val="28"/>
          <w:szCs w:val="28"/>
        </w:rPr>
      </w:pPr>
      <w:r>
        <w:rPr>
          <w:b/>
          <w:bCs/>
          <w:sz w:val="28"/>
          <w:szCs w:val="28"/>
        </w:rPr>
        <w:t xml:space="preserve"> nhà làm việc thuộc cơ sở hoạt động sự nghiệp thuộc</w:t>
      </w:r>
    </w:p>
    <w:p w:rsidR="000645F9" w:rsidRDefault="006B7856" w:rsidP="00ED0072">
      <w:pPr>
        <w:jc w:val="center"/>
        <w:rPr>
          <w:b/>
          <w:bCs/>
          <w:sz w:val="28"/>
          <w:szCs w:val="28"/>
        </w:rPr>
      </w:pPr>
      <w:r>
        <w:rPr>
          <w:b/>
          <w:bCs/>
          <w:sz w:val="28"/>
          <w:szCs w:val="28"/>
        </w:rPr>
        <w:t xml:space="preserve"> phạm vi quản lý của </w:t>
      </w:r>
      <w:r w:rsidR="00BC677F">
        <w:rPr>
          <w:b/>
          <w:bCs/>
          <w:sz w:val="28"/>
          <w:szCs w:val="28"/>
        </w:rPr>
        <w:t>thành phố</w:t>
      </w:r>
      <w:r w:rsidR="005E6C67">
        <w:rPr>
          <w:b/>
          <w:bCs/>
          <w:sz w:val="28"/>
          <w:szCs w:val="28"/>
        </w:rPr>
        <w:t xml:space="preserve"> Đà Nẵng</w:t>
      </w:r>
    </w:p>
    <w:p w:rsidR="0028433B" w:rsidRPr="009E192D" w:rsidRDefault="002729B1"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DFA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 xml:space="preserve">Căn cứ Luật Tổ chức chính quyền địa phương </w:t>
      </w:r>
      <w:r w:rsidR="006B7856">
        <w:rPr>
          <w:rFonts w:ascii="Times New Roman" w:hAnsi="Times New Roman"/>
          <w:i/>
          <w:szCs w:val="28"/>
          <w:lang w:val="en-US"/>
        </w:rPr>
        <w:t xml:space="preserve">số 77/2015/QH13 </w:t>
      </w:r>
      <w:r w:rsidRPr="005831DF">
        <w:rPr>
          <w:rFonts w:ascii="Times New Roman" w:hAnsi="Times New Roman"/>
          <w:i/>
          <w:szCs w:val="28"/>
        </w:rPr>
        <w:t>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FF1ABD" w:rsidRDefault="00FF1ABD" w:rsidP="00651EDF">
      <w:pPr>
        <w:ind w:firstLine="709"/>
        <w:jc w:val="both"/>
        <w:rPr>
          <w:i/>
          <w:sz w:val="28"/>
          <w:szCs w:val="28"/>
        </w:rPr>
      </w:pPr>
    </w:p>
    <w:p w:rsidR="000645F9" w:rsidRPr="005831DF" w:rsidRDefault="000645F9" w:rsidP="00651EDF">
      <w:pPr>
        <w:ind w:firstLine="709"/>
        <w:jc w:val="both"/>
        <w:rPr>
          <w:i/>
          <w:sz w:val="28"/>
          <w:szCs w:val="28"/>
        </w:rPr>
      </w:pPr>
      <w:r w:rsidRPr="005831DF">
        <w:rPr>
          <w:i/>
          <w:sz w:val="28"/>
          <w:szCs w:val="28"/>
        </w:rPr>
        <w:t xml:space="preserve">Căn cứ Luật </w:t>
      </w:r>
      <w:r w:rsidR="006B7856">
        <w:rPr>
          <w:i/>
          <w:sz w:val="28"/>
          <w:szCs w:val="28"/>
        </w:rPr>
        <w:t>quản lý, sử dụng tài sản công số 15/</w:t>
      </w:r>
      <w:r w:rsidR="00F738A2">
        <w:rPr>
          <w:i/>
          <w:sz w:val="28"/>
          <w:szCs w:val="28"/>
        </w:rPr>
        <w:t xml:space="preserve"> </w:t>
      </w:r>
      <w:r w:rsidRPr="005831DF">
        <w:rPr>
          <w:i/>
          <w:iCs/>
          <w:sz w:val="28"/>
          <w:szCs w:val="28"/>
          <w:lang w:val="vi-VN"/>
        </w:rPr>
        <w:t>ngày</w:t>
      </w:r>
      <w:r w:rsidR="00F738A2">
        <w:rPr>
          <w:i/>
          <w:iCs/>
          <w:sz w:val="28"/>
          <w:szCs w:val="28"/>
        </w:rPr>
        <w:t xml:space="preserve"> 22</w:t>
      </w:r>
      <w:r w:rsidRPr="005831DF">
        <w:rPr>
          <w:i/>
          <w:iCs/>
          <w:sz w:val="28"/>
          <w:szCs w:val="28"/>
          <w:shd w:val="solid" w:color="FFFFFF" w:fill="auto"/>
          <w:lang w:val="vi-VN"/>
        </w:rPr>
        <w:t>tháng</w:t>
      </w:r>
      <w:r w:rsidR="00F738A2">
        <w:rPr>
          <w:i/>
          <w:iCs/>
          <w:sz w:val="28"/>
          <w:szCs w:val="28"/>
          <w:lang w:val="vi-VN"/>
        </w:rPr>
        <w:t xml:space="preserve"> 6 năm 201</w:t>
      </w:r>
      <w:r w:rsidR="00F738A2">
        <w:rPr>
          <w:i/>
          <w:iCs/>
          <w:sz w:val="28"/>
          <w:szCs w:val="28"/>
        </w:rPr>
        <w:t>5</w:t>
      </w:r>
      <w:r w:rsidRPr="005831DF">
        <w:rPr>
          <w:i/>
          <w:sz w:val="28"/>
          <w:szCs w:val="28"/>
        </w:rPr>
        <w:t>;</w:t>
      </w:r>
    </w:p>
    <w:p w:rsidR="00FF1ABD" w:rsidRDefault="00FF1ABD" w:rsidP="00651EDF">
      <w:pPr>
        <w:ind w:firstLine="709"/>
        <w:jc w:val="both"/>
        <w:rPr>
          <w:i/>
          <w:sz w:val="28"/>
          <w:szCs w:val="28"/>
        </w:rPr>
      </w:pPr>
    </w:p>
    <w:p w:rsidR="006B7856" w:rsidRDefault="000645F9" w:rsidP="00651EDF">
      <w:pPr>
        <w:ind w:firstLine="709"/>
        <w:jc w:val="both"/>
        <w:rPr>
          <w:i/>
          <w:iCs/>
          <w:sz w:val="28"/>
          <w:szCs w:val="28"/>
        </w:rPr>
      </w:pPr>
      <w:r w:rsidRPr="005831DF">
        <w:rPr>
          <w:i/>
          <w:sz w:val="28"/>
          <w:szCs w:val="28"/>
        </w:rPr>
        <w:t xml:space="preserve">Căn cứ Nghị định số </w:t>
      </w:r>
      <w:r w:rsidR="006B7856">
        <w:rPr>
          <w:i/>
          <w:sz w:val="28"/>
          <w:szCs w:val="28"/>
        </w:rPr>
        <w:t>151/2017</w:t>
      </w:r>
      <w:r w:rsidRPr="005831DF">
        <w:rPr>
          <w:i/>
          <w:sz w:val="28"/>
          <w:szCs w:val="28"/>
        </w:rPr>
        <w:t xml:space="preserve">/NĐ-CP </w:t>
      </w:r>
      <w:r w:rsidRPr="005831DF">
        <w:rPr>
          <w:i/>
          <w:iCs/>
          <w:sz w:val="28"/>
          <w:szCs w:val="28"/>
        </w:rPr>
        <w:t xml:space="preserve">ngày </w:t>
      </w:r>
      <w:bookmarkStart w:id="1" w:name="loai_1_name"/>
      <w:r w:rsidR="006B7856">
        <w:rPr>
          <w:i/>
          <w:iCs/>
          <w:sz w:val="28"/>
          <w:szCs w:val="28"/>
        </w:rPr>
        <w:t>26 tháng 12 năm 2017của Chính phủ quy định chi tiết và hướng dẫn thi hành một số điều của Luật quản lý, sử dụng tài sản công;</w:t>
      </w:r>
    </w:p>
    <w:p w:rsidR="00FF1ABD" w:rsidRDefault="00FF1ABD" w:rsidP="00651EDF">
      <w:pPr>
        <w:ind w:firstLine="709"/>
        <w:jc w:val="both"/>
        <w:rPr>
          <w:i/>
          <w:sz w:val="28"/>
          <w:szCs w:val="28"/>
        </w:rPr>
      </w:pPr>
    </w:p>
    <w:p w:rsidR="006B7856" w:rsidRDefault="006B7856" w:rsidP="00651EDF">
      <w:pPr>
        <w:ind w:firstLine="709"/>
        <w:jc w:val="both"/>
        <w:rPr>
          <w:i/>
          <w:iCs/>
          <w:sz w:val="28"/>
          <w:szCs w:val="28"/>
        </w:rPr>
      </w:pPr>
      <w:r w:rsidRPr="005831DF">
        <w:rPr>
          <w:i/>
          <w:sz w:val="28"/>
          <w:szCs w:val="28"/>
        </w:rPr>
        <w:t xml:space="preserve">Căn cứ Nghị định số </w:t>
      </w:r>
      <w:r>
        <w:rPr>
          <w:i/>
          <w:sz w:val="28"/>
          <w:szCs w:val="28"/>
        </w:rPr>
        <w:t>152/2017</w:t>
      </w:r>
      <w:r w:rsidRPr="005831DF">
        <w:rPr>
          <w:i/>
          <w:sz w:val="28"/>
          <w:szCs w:val="28"/>
        </w:rPr>
        <w:t xml:space="preserve">/NĐ-CP </w:t>
      </w:r>
      <w:r w:rsidRPr="005831DF">
        <w:rPr>
          <w:i/>
          <w:iCs/>
          <w:sz w:val="28"/>
          <w:szCs w:val="28"/>
        </w:rPr>
        <w:t xml:space="preserve">ngày </w:t>
      </w:r>
      <w:r>
        <w:rPr>
          <w:i/>
          <w:iCs/>
          <w:sz w:val="28"/>
          <w:szCs w:val="28"/>
        </w:rPr>
        <w:t>27 tháng 12 năm 2017của Chính phủ</w:t>
      </w:r>
      <w:r w:rsidR="00F738A2">
        <w:rPr>
          <w:i/>
          <w:iCs/>
          <w:sz w:val="28"/>
          <w:szCs w:val="28"/>
        </w:rPr>
        <w:t xml:space="preserve"> quy định </w:t>
      </w:r>
      <w:r>
        <w:rPr>
          <w:i/>
          <w:iCs/>
          <w:sz w:val="28"/>
          <w:szCs w:val="28"/>
        </w:rPr>
        <w:t xml:space="preserve"> tiêu chuẩn, định mức sử dụng trụ sở làm việc, cơ sở hoạt động sự nghiệp;</w:t>
      </w:r>
    </w:p>
    <w:p w:rsidR="00FF1ABD" w:rsidRDefault="00FF1ABD" w:rsidP="00651EDF">
      <w:pPr>
        <w:ind w:firstLine="709"/>
        <w:jc w:val="both"/>
        <w:rPr>
          <w:i/>
          <w:iCs/>
          <w:sz w:val="28"/>
          <w:szCs w:val="28"/>
        </w:rPr>
      </w:pPr>
    </w:p>
    <w:p w:rsidR="00D260F9" w:rsidRDefault="00D260F9" w:rsidP="00651EDF">
      <w:pPr>
        <w:ind w:firstLine="709"/>
        <w:jc w:val="both"/>
        <w:rPr>
          <w:i/>
          <w:iCs/>
          <w:sz w:val="28"/>
          <w:szCs w:val="28"/>
        </w:rPr>
      </w:pPr>
      <w:r>
        <w:rPr>
          <w:i/>
          <w:iCs/>
          <w:sz w:val="28"/>
          <w:szCs w:val="28"/>
        </w:rPr>
        <w:t>Trên cơ sở ý kiến thống nhất của Thường trực hội đồng nhân dân thành phố tại Công văn số 866/HĐND-KTNS ngày 26 tháng 9 năm 2019 về định mức diện tích chuyên dùng nhà làm việc thuộc trụ sở làm việc của cơ quan, tổ chức; nhà làm việc thuộc cơ sở hoạt động sự nghiệp thuộc phạm vi quản lý của thành phố Đà Nẵng;</w:t>
      </w:r>
    </w:p>
    <w:p w:rsidR="00FF1ABD" w:rsidRDefault="00FF1ABD" w:rsidP="00651EDF">
      <w:pPr>
        <w:ind w:firstLine="709"/>
        <w:jc w:val="both"/>
        <w:rPr>
          <w:i/>
          <w:iCs/>
          <w:sz w:val="28"/>
          <w:szCs w:val="28"/>
        </w:rPr>
      </w:pPr>
    </w:p>
    <w:p w:rsidR="00D260F9" w:rsidRDefault="00D260F9" w:rsidP="00651EDF">
      <w:pPr>
        <w:ind w:firstLine="709"/>
        <w:jc w:val="both"/>
        <w:rPr>
          <w:i/>
          <w:iCs/>
          <w:sz w:val="28"/>
          <w:szCs w:val="28"/>
        </w:rPr>
      </w:pPr>
      <w:r>
        <w:rPr>
          <w:i/>
          <w:iCs/>
          <w:sz w:val="28"/>
          <w:szCs w:val="28"/>
        </w:rPr>
        <w:t>Xét tờ trình số 117/TTr-STC ngày 28 tháng 6 năm 2019 của Sở Tài chính về việc ban hành tiêu chuẩn, định mức sử dụng diện tích chuyên dùng nhà làm việc thuộc trụ sở làm việc của cơ quan, tổ chức; nhà làm việc thuộc cơ sở hoạt động sự nghiệp thuộc phạm vi quản lý của thành phố Đà Nẵng và công văn số 3335/STC-GCS ngày 07 tháng 10 năm 2019 của Sở Tài chính liên quan đến tiêu chuẩn,</w:t>
      </w:r>
      <w:r w:rsidRPr="00D260F9">
        <w:rPr>
          <w:i/>
          <w:iCs/>
          <w:sz w:val="28"/>
          <w:szCs w:val="28"/>
        </w:rPr>
        <w:t xml:space="preserve"> </w:t>
      </w:r>
      <w:r>
        <w:rPr>
          <w:i/>
          <w:iCs/>
          <w:sz w:val="28"/>
          <w:szCs w:val="28"/>
        </w:rPr>
        <w:t>định mức sử dụng diện tích chuyên dùng tại cơ quan, tổ chức, đơn vị;Công văn số 3574/SXD-QLN ngày 14 tháng 5 năm 2019 và Công văn số 4303/SXD ngày 06/6/2019 của Sở Xây dựng; ý kiến thẩm định của Sở Tư pháp tại Công văn số 2324/STP-XDKTVB ngày 24 tháng 6 năm 2019; ý kiến thống nhất của các thành viên Ủy ban nhân dân thành phố Đà Nẵ</w:t>
      </w:r>
      <w:r w:rsidR="00E91BF1">
        <w:rPr>
          <w:i/>
          <w:iCs/>
          <w:sz w:val="28"/>
          <w:szCs w:val="28"/>
        </w:rPr>
        <w:t>ng tại phiên họp ngày 14/8/2019</w:t>
      </w:r>
    </w:p>
    <w:p w:rsidR="00D260F9" w:rsidRDefault="00D260F9" w:rsidP="00651EDF">
      <w:pPr>
        <w:ind w:firstLine="709"/>
        <w:jc w:val="both"/>
        <w:rPr>
          <w:i/>
          <w:iCs/>
          <w:sz w:val="28"/>
          <w:szCs w:val="28"/>
        </w:rPr>
      </w:pPr>
    </w:p>
    <w:bookmarkEnd w:id="1"/>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FF1ABD" w:rsidRDefault="00945CC2" w:rsidP="00945CC2">
      <w:pPr>
        <w:jc w:val="both"/>
        <w:rPr>
          <w:sz w:val="28"/>
          <w:lang w:val="pt-BR"/>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00FF1ABD">
        <w:rPr>
          <w:sz w:val="28"/>
          <w:lang w:val="pt-BR"/>
        </w:rPr>
        <w:t>Phạm vi điều chỉnh và đối tượng áp dụng</w:t>
      </w:r>
    </w:p>
    <w:p w:rsidR="00FF1ABD" w:rsidRPr="00FF1ABD" w:rsidRDefault="00FF1ABD" w:rsidP="00FF1ABD">
      <w:pPr>
        <w:jc w:val="both"/>
        <w:rPr>
          <w:bCs/>
          <w:sz w:val="28"/>
          <w:szCs w:val="28"/>
        </w:rPr>
      </w:pPr>
      <w:r>
        <w:rPr>
          <w:sz w:val="28"/>
          <w:lang w:val="pt-BR"/>
        </w:rPr>
        <w:lastRenderedPageBreak/>
        <w:t xml:space="preserve">        1.Phạm vi điều chỉnh: Quyết định này quy định tiêu chuẩn, định mức diện tích chuyên dùng nhà làm việc thuộc trụ sở làm việc của cơ quan, tổ chức; nhà làm việc thuộc cơ sở hoạt động sự nghiệp thuộc phạm vi quản lý của thành phố Đà Nẵng</w:t>
      </w:r>
    </w:p>
    <w:p w:rsidR="00FF1ABD" w:rsidRDefault="00FF1ABD" w:rsidP="00FF1ABD">
      <w:pPr>
        <w:jc w:val="both"/>
        <w:rPr>
          <w:sz w:val="28"/>
          <w:lang w:val="pt-BR"/>
        </w:rPr>
      </w:pPr>
      <w:r>
        <w:rPr>
          <w:sz w:val="28"/>
          <w:lang w:val="pt-BR"/>
        </w:rPr>
        <w:t xml:space="preserve">              </w:t>
      </w:r>
    </w:p>
    <w:p w:rsidR="00FF1ABD" w:rsidRDefault="00FF1ABD" w:rsidP="00FF1ABD">
      <w:pPr>
        <w:jc w:val="both"/>
        <w:rPr>
          <w:sz w:val="28"/>
          <w:lang w:val="pt-BR"/>
        </w:rPr>
      </w:pPr>
      <w:r>
        <w:rPr>
          <w:sz w:val="28"/>
          <w:lang w:val="pt-BR"/>
        </w:rPr>
        <w:t xml:space="preserve">        2.Đối tượng áp dụng: Cơ quan nhà nước; Cơ quan Đảng Cộng sản Việt Nam; Tổ chức chính trị- xã hội được ngân sách nhà nước đảm bảo kinh phí hoạt động; Đơn vị sự nghiệp công lập; Ban quản lý dự án sử dụng vốn ngân sách nhà nước thuộc phạm vi quản lý của thành phố Đà Nẵng (sau đây gọi tắt là cơ quan, tổ chức, đơn vị)</w:t>
      </w:r>
    </w:p>
    <w:p w:rsidR="00FF1ABD" w:rsidRDefault="00FF1ABD" w:rsidP="00945CC2">
      <w:pPr>
        <w:spacing w:after="120"/>
        <w:jc w:val="both"/>
        <w:rPr>
          <w:sz w:val="28"/>
          <w:lang w:val="pt-BR"/>
        </w:rPr>
      </w:pPr>
    </w:p>
    <w:p w:rsidR="00153ED0" w:rsidRPr="00153ED0" w:rsidRDefault="00945CC2" w:rsidP="00945CC2">
      <w:pPr>
        <w:spacing w:after="120"/>
        <w:jc w:val="both"/>
        <w:rPr>
          <w:sz w:val="28"/>
          <w:szCs w:val="28"/>
          <w:lang w:val="nl-NL"/>
        </w:rPr>
      </w:pPr>
      <w:r>
        <w:rPr>
          <w:b/>
          <w:sz w:val="28"/>
          <w:szCs w:val="28"/>
          <w:lang w:val="nl-NL"/>
        </w:rPr>
        <w:t xml:space="preserve">     </w:t>
      </w:r>
      <w:r w:rsidR="00FF1ABD">
        <w:rPr>
          <w:b/>
          <w:sz w:val="28"/>
          <w:szCs w:val="28"/>
          <w:lang w:val="nl-NL"/>
        </w:rPr>
        <w:t xml:space="preserve"> </w:t>
      </w:r>
      <w:r>
        <w:rPr>
          <w:b/>
          <w:sz w:val="28"/>
          <w:szCs w:val="28"/>
          <w:lang w:val="nl-NL"/>
        </w:rPr>
        <w:t xml:space="preserve"> </w:t>
      </w:r>
      <w:r w:rsidR="000465A2">
        <w:rPr>
          <w:b/>
          <w:sz w:val="28"/>
          <w:szCs w:val="28"/>
          <w:lang w:val="nl-NL"/>
        </w:rPr>
        <w:t>Điều 2.</w:t>
      </w:r>
      <w:r w:rsidR="003947E2">
        <w:rPr>
          <w:b/>
          <w:sz w:val="28"/>
          <w:szCs w:val="28"/>
          <w:lang w:val="nl-NL"/>
        </w:rPr>
        <w:t xml:space="preserve"> Tiêu chuẩn, định mức sử dụng diện tích chuyên dùng nhà làm việc của cơ quan, tổ chức, đơn vị: </w:t>
      </w:r>
      <w:r w:rsidR="003947E2" w:rsidRPr="00153ED0">
        <w:rPr>
          <w:sz w:val="28"/>
          <w:szCs w:val="28"/>
          <w:lang w:val="nl-NL"/>
        </w:rPr>
        <w:t>Chi tiết phụ lục kèm theo</w:t>
      </w:r>
    </w:p>
    <w:p w:rsidR="00153ED0" w:rsidRDefault="00153ED0" w:rsidP="00945CC2">
      <w:pPr>
        <w:spacing w:after="120"/>
        <w:jc w:val="both"/>
        <w:rPr>
          <w:b/>
          <w:sz w:val="28"/>
          <w:szCs w:val="28"/>
          <w:lang w:val="nl-NL"/>
        </w:rPr>
      </w:pPr>
      <w:r>
        <w:rPr>
          <w:b/>
          <w:sz w:val="28"/>
          <w:szCs w:val="28"/>
          <w:lang w:val="nl-NL"/>
        </w:rPr>
        <w:t xml:space="preserve">      </w:t>
      </w:r>
      <w:r w:rsidR="00A8234D">
        <w:rPr>
          <w:b/>
          <w:sz w:val="28"/>
          <w:szCs w:val="28"/>
          <w:lang w:val="nl-NL"/>
        </w:rPr>
        <w:t xml:space="preserve"> </w:t>
      </w:r>
      <w:r>
        <w:rPr>
          <w:b/>
          <w:sz w:val="28"/>
          <w:szCs w:val="28"/>
          <w:lang w:val="nl-NL"/>
        </w:rPr>
        <w:t xml:space="preserve">Điều 3. Xử lý chuyển tiếp </w:t>
      </w:r>
      <w:r w:rsidR="000465A2">
        <w:rPr>
          <w:b/>
          <w:sz w:val="28"/>
          <w:szCs w:val="28"/>
          <w:lang w:val="nl-NL"/>
        </w:rPr>
        <w:t xml:space="preserve"> </w:t>
      </w:r>
    </w:p>
    <w:p w:rsidR="00153ED0" w:rsidRDefault="00153ED0" w:rsidP="00153ED0">
      <w:pPr>
        <w:spacing w:after="120"/>
        <w:jc w:val="both"/>
        <w:rPr>
          <w:sz w:val="28"/>
          <w:szCs w:val="28"/>
          <w:lang w:val="nl-NL"/>
        </w:rPr>
      </w:pPr>
      <w:r>
        <w:rPr>
          <w:sz w:val="28"/>
          <w:szCs w:val="28"/>
          <w:lang w:val="nl-NL"/>
        </w:rPr>
        <w:t xml:space="preserve">        1.</w:t>
      </w:r>
      <w:r w:rsidRPr="00153ED0">
        <w:rPr>
          <w:sz w:val="28"/>
          <w:szCs w:val="28"/>
          <w:lang w:val="nl-NL"/>
        </w:rPr>
        <w:t>Đối với dự án đầu tư xây dựng mới, cải tạo, nâng cấp trụ sở làm việc của cơ quan, tổ chức; nhà làm việc thuộc cơ sở hoạt động sự nghiệp đã dược cấp có thẩm quyền phê duyệt theo quy định trước ngày Quyết định có hiệu lực thì không xác định lại diện tích chuyên dùng theo tiêu chuẩn, định mức theo quy định tại Quyết định này</w:t>
      </w:r>
    </w:p>
    <w:p w:rsidR="00153ED0" w:rsidRDefault="00153ED0" w:rsidP="00153ED0">
      <w:pPr>
        <w:spacing w:after="120"/>
        <w:jc w:val="both"/>
        <w:rPr>
          <w:sz w:val="28"/>
          <w:szCs w:val="28"/>
          <w:lang w:val="nl-NL"/>
        </w:rPr>
      </w:pPr>
      <w:r>
        <w:rPr>
          <w:sz w:val="28"/>
          <w:szCs w:val="28"/>
          <w:lang w:val="nl-NL"/>
        </w:rPr>
        <w:t xml:space="preserve">        2.Đối với các cơ quan, tổ chức, đơn vị đã xây dựng trụ sở làm việc, nhà làm việc thuộc cơ sở hoạt động sự nghiệp có diện tích chuyên dùng cao hơn theo tiêu chuẩn, định mức quy định tại Điều 2 Quyết định thì tiếp tục sử dụng; khi đầu tư xây dựng mới, cải tạo, nâng cấp trụ sở làm việc thì thực hiện theo tiêu chuẩn, định mức sử dụng diện tích chuyên dùng tại Quyết định này.</w:t>
      </w:r>
    </w:p>
    <w:p w:rsidR="00153ED0" w:rsidRPr="00153ED0" w:rsidRDefault="00153ED0" w:rsidP="00153ED0">
      <w:pPr>
        <w:spacing w:after="120"/>
        <w:jc w:val="both"/>
        <w:rPr>
          <w:b/>
          <w:sz w:val="28"/>
          <w:szCs w:val="28"/>
          <w:lang w:val="nl-NL"/>
        </w:rPr>
      </w:pPr>
      <w:r>
        <w:rPr>
          <w:sz w:val="28"/>
          <w:szCs w:val="28"/>
          <w:lang w:val="nl-NL"/>
        </w:rPr>
        <w:t xml:space="preserve">       </w:t>
      </w:r>
      <w:r w:rsidRPr="00153ED0">
        <w:rPr>
          <w:b/>
          <w:sz w:val="28"/>
          <w:szCs w:val="28"/>
          <w:lang w:val="nl-NL"/>
        </w:rPr>
        <w:t>Điều 4. Trách nhiệm và tổ chức thực hiện</w:t>
      </w:r>
    </w:p>
    <w:p w:rsidR="00153ED0" w:rsidRDefault="00153ED0" w:rsidP="00945CC2">
      <w:pPr>
        <w:spacing w:after="120"/>
        <w:jc w:val="both"/>
        <w:rPr>
          <w:sz w:val="28"/>
          <w:szCs w:val="28"/>
          <w:lang w:val="nl-NL"/>
        </w:rPr>
      </w:pPr>
      <w:r>
        <w:rPr>
          <w:sz w:val="28"/>
          <w:szCs w:val="28"/>
          <w:lang w:val="nl-NL"/>
        </w:rPr>
        <w:t xml:space="preserve">         1.Các cơ quan, tổ chức, đơn vị có trách nhiệm quản lý, sử dụng diện tích chuyên dùng theo đúng tiêu chuẩn, định mức này và các quy định có liên quan.</w:t>
      </w:r>
    </w:p>
    <w:p w:rsidR="00B47355" w:rsidRDefault="00153ED0" w:rsidP="00945CC2">
      <w:pPr>
        <w:spacing w:after="120"/>
        <w:jc w:val="both"/>
        <w:rPr>
          <w:sz w:val="28"/>
          <w:szCs w:val="28"/>
          <w:lang w:val="nl-NL"/>
        </w:rPr>
      </w:pPr>
      <w:r>
        <w:rPr>
          <w:sz w:val="28"/>
          <w:szCs w:val="28"/>
          <w:lang w:val="nl-NL"/>
        </w:rPr>
        <w:t xml:space="preserve">         2.Sở Tài chính có ý kiến bằng văn bản về tieu chuẩn, định mức đối với trụ sở làm việc</w:t>
      </w:r>
      <w:r w:rsidR="00B47355">
        <w:rPr>
          <w:sz w:val="28"/>
          <w:szCs w:val="28"/>
          <w:lang w:val="nl-NL"/>
        </w:rPr>
        <w:t xml:space="preserve"> của cơ quan, tổ chức; nhà làm việc thuộc cơ sở hoạt động sự nghiệp thuộc phạm vi quản lý của thành phố Đà Nẵng khi đầu tư xây dựng mới hoặc cải tạo, nâng cấp theo quy định tại Quyết định này và các văn bản khác có liên quan.</w:t>
      </w:r>
    </w:p>
    <w:p w:rsidR="000B0D37" w:rsidRPr="000B0D37" w:rsidRDefault="00B47355" w:rsidP="00945CC2">
      <w:pPr>
        <w:spacing w:after="120"/>
        <w:jc w:val="both"/>
        <w:rPr>
          <w:sz w:val="28"/>
          <w:szCs w:val="28"/>
          <w:lang w:val="nl-NL"/>
        </w:rPr>
      </w:pPr>
      <w:r w:rsidRPr="00B47355">
        <w:rPr>
          <w:b/>
          <w:sz w:val="28"/>
          <w:szCs w:val="28"/>
          <w:lang w:val="nl-NL"/>
        </w:rPr>
        <w:t xml:space="preserve">        Điều 5</w:t>
      </w:r>
      <w:r>
        <w:rPr>
          <w:sz w:val="28"/>
          <w:szCs w:val="28"/>
          <w:lang w:val="nl-NL"/>
        </w:rPr>
        <w:t xml:space="preserve">.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Pr>
          <w:sz w:val="28"/>
          <w:szCs w:val="28"/>
          <w:lang w:val="nl-NL"/>
        </w:rPr>
        <w:t>25</w:t>
      </w:r>
      <w:r w:rsidR="00C509C9">
        <w:rPr>
          <w:sz w:val="28"/>
          <w:szCs w:val="28"/>
          <w:lang w:val="nl-NL"/>
        </w:rPr>
        <w:t xml:space="preserve"> </w:t>
      </w:r>
      <w:r w:rsidR="004D6889">
        <w:rPr>
          <w:sz w:val="28"/>
          <w:szCs w:val="28"/>
          <w:lang w:val="nl-NL"/>
        </w:rPr>
        <w:t>tháng</w:t>
      </w:r>
      <w:r>
        <w:rPr>
          <w:sz w:val="28"/>
          <w:szCs w:val="28"/>
          <w:lang w:val="nl-NL"/>
        </w:rPr>
        <w:t xml:space="preserve"> 10</w:t>
      </w:r>
      <w:r w:rsidR="00C509C9">
        <w:rPr>
          <w:sz w:val="28"/>
          <w:szCs w:val="28"/>
          <w:lang w:val="nl-NL"/>
        </w:rPr>
        <w:t xml:space="preserve"> </w:t>
      </w:r>
      <w:r w:rsidR="00F01C72">
        <w:rPr>
          <w:sz w:val="28"/>
          <w:szCs w:val="28"/>
          <w:lang w:val="nl-NL"/>
        </w:rPr>
        <w:t xml:space="preserve"> </w:t>
      </w:r>
      <w:r w:rsidR="004D6889">
        <w:rPr>
          <w:sz w:val="28"/>
          <w:szCs w:val="28"/>
          <w:lang w:val="nl-NL"/>
        </w:rPr>
        <w:t>năm 201</w:t>
      </w:r>
      <w:r w:rsidR="00FE399C">
        <w:rPr>
          <w:sz w:val="28"/>
          <w:szCs w:val="28"/>
          <w:lang w:val="nl-NL"/>
        </w:rPr>
        <w:t>9</w:t>
      </w:r>
      <w:r w:rsidR="00503F27">
        <w:rPr>
          <w:sz w:val="28"/>
          <w:szCs w:val="28"/>
          <w:lang w:val="nl-NL"/>
        </w:rPr>
        <w:t xml:space="preserve">. </w:t>
      </w:r>
    </w:p>
    <w:p w:rsidR="00CD25A8" w:rsidRDefault="00945CC2" w:rsidP="00945CC2">
      <w:pPr>
        <w:tabs>
          <w:tab w:val="left" w:pos="709"/>
          <w:tab w:val="left" w:pos="5812"/>
        </w:tabs>
        <w:spacing w:before="100"/>
        <w:jc w:val="both"/>
        <w:rPr>
          <w:sz w:val="28"/>
          <w:szCs w:val="28"/>
          <w:lang w:val="pt-BR"/>
        </w:rPr>
      </w:pPr>
      <w:r>
        <w:rPr>
          <w:b/>
          <w:sz w:val="28"/>
          <w:szCs w:val="28"/>
          <w:lang w:val="pt-BR"/>
        </w:rPr>
        <w:t xml:space="preserve">      </w:t>
      </w:r>
      <w:r w:rsidR="00B47355">
        <w:rPr>
          <w:b/>
          <w:sz w:val="28"/>
          <w:szCs w:val="28"/>
          <w:lang w:val="pt-BR"/>
        </w:rPr>
        <w:t xml:space="preserve">  Điều 6</w:t>
      </w:r>
      <w:r w:rsidR="00CD25A8" w:rsidRPr="00917E85">
        <w:rPr>
          <w:b/>
          <w:sz w:val="28"/>
          <w:szCs w:val="28"/>
          <w:lang w:val="pt-BR"/>
        </w:rPr>
        <w:t xml:space="preserve">. </w:t>
      </w:r>
      <w:r w:rsidR="00CD25A8" w:rsidRPr="00CD55CA">
        <w:rPr>
          <w:sz w:val="28"/>
          <w:szCs w:val="28"/>
          <w:lang w:val="pt-BR"/>
        </w:rPr>
        <w:t xml:space="preserve">Chánh Văn phòng </w:t>
      </w:r>
      <w:r w:rsidR="00B47355">
        <w:rPr>
          <w:sz w:val="28"/>
          <w:szCs w:val="28"/>
          <w:lang w:val="pt-BR"/>
        </w:rPr>
        <w:t xml:space="preserve">Đoàn đại biểu Quốc hội, Hội đồng nhân dân và UBND thành phố, </w:t>
      </w:r>
      <w:r w:rsidR="00CD25A8">
        <w:rPr>
          <w:sz w:val="28"/>
          <w:szCs w:val="28"/>
          <w:lang w:val="pt-BR"/>
        </w:rPr>
        <w:t xml:space="preserve"> Giám đốc </w:t>
      </w:r>
      <w:r w:rsidR="00FE399C">
        <w:rPr>
          <w:sz w:val="28"/>
          <w:szCs w:val="28"/>
          <w:lang w:val="pt-BR"/>
        </w:rPr>
        <w:t>các</w:t>
      </w:r>
      <w:r w:rsidR="00B47355">
        <w:rPr>
          <w:sz w:val="28"/>
          <w:szCs w:val="28"/>
          <w:lang w:val="pt-BR"/>
        </w:rPr>
        <w:t xml:space="preserve"> Sở: </w:t>
      </w:r>
      <w:r w:rsidR="00FE399C">
        <w:rPr>
          <w:sz w:val="28"/>
          <w:szCs w:val="28"/>
          <w:lang w:val="pt-BR"/>
        </w:rPr>
        <w:t xml:space="preserve"> Tài chính,</w:t>
      </w:r>
      <w:r w:rsidR="00B47355">
        <w:rPr>
          <w:sz w:val="28"/>
          <w:szCs w:val="28"/>
          <w:lang w:val="pt-BR"/>
        </w:rPr>
        <w:t xml:space="preserve"> Xây dựng, Thủ trưởng </w:t>
      </w:r>
      <w:r w:rsidR="00FE399C">
        <w:rPr>
          <w:sz w:val="28"/>
          <w:szCs w:val="28"/>
          <w:lang w:val="pt-BR"/>
        </w:rPr>
        <w:t xml:space="preserve"> </w:t>
      </w:r>
      <w:r w:rsidR="00B47355">
        <w:rPr>
          <w:sz w:val="28"/>
          <w:szCs w:val="28"/>
          <w:lang w:val="pt-BR"/>
        </w:rPr>
        <w:t xml:space="preserve">các cơ quan chuyên môn thuộc UBND thành phố, Chủ tịch UBND các quận, huyện và Thủ trưởng các cơ quan, đơn vị có liên quan căn cứ </w:t>
      </w:r>
      <w:r w:rsidR="00B47355" w:rsidRPr="00CD55CA">
        <w:rPr>
          <w:sz w:val="28"/>
          <w:szCs w:val="28"/>
          <w:lang w:val="pt-BR"/>
        </w:rPr>
        <w:t>Quyết định</w:t>
      </w:r>
      <w:r w:rsidR="00B47355">
        <w:rPr>
          <w:sz w:val="28"/>
          <w:szCs w:val="28"/>
          <w:lang w:val="pt-BR"/>
        </w:rPr>
        <w:t xml:space="preserve"> </w:t>
      </w:r>
      <w:r w:rsidR="00CD25A8" w:rsidRPr="00CD55CA">
        <w:rPr>
          <w:sz w:val="28"/>
          <w:szCs w:val="28"/>
          <w:lang w:val="pt-BR"/>
        </w:rPr>
        <w:t>thi hành</w:t>
      </w:r>
      <w:r w:rsidR="00B47355">
        <w:rPr>
          <w:sz w:val="28"/>
          <w:szCs w:val="28"/>
          <w:lang w:val="pt-BR"/>
        </w:rPr>
        <w:t>./.</w:t>
      </w:r>
      <w:r w:rsidRPr="00945CC2">
        <w:rPr>
          <w:sz w:val="28"/>
          <w:szCs w:val="28"/>
          <w:lang w:val="pt-BR"/>
        </w:rPr>
        <w:t xml:space="preserve"> </w:t>
      </w:r>
    </w:p>
    <w:p w:rsidR="00CD25A8" w:rsidRPr="00E91BF1"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E91BF1">
        <w:rPr>
          <w:rFonts w:ascii="Times New Roman" w:hAnsi="Times New Roman"/>
          <w:szCs w:val="28"/>
          <w:lang w:val="pt-BR"/>
        </w:rPr>
        <w:t>TM. ỦY BAN NHÂN DÂN</w:t>
      </w:r>
      <w:r w:rsidRPr="00E91BF1">
        <w:rPr>
          <w:rFonts w:ascii="Times New Roman" w:hAnsi="Times New Roman"/>
          <w:szCs w:val="28"/>
          <w:lang w:val="pt-BR"/>
        </w:rPr>
        <w:t xml:space="preserve">                                                              </w:t>
      </w:r>
    </w:p>
    <w:p w:rsidR="000B0D37" w:rsidRPr="00E91BF1" w:rsidRDefault="000B0D37" w:rsidP="000C2410">
      <w:pPr>
        <w:ind w:left="-284" w:firstLine="284"/>
        <w:rPr>
          <w:b/>
          <w:sz w:val="28"/>
          <w:szCs w:val="28"/>
          <w:lang w:val="pt-BR"/>
        </w:rPr>
      </w:pPr>
      <w:r w:rsidRPr="00E91BF1">
        <w:rPr>
          <w:b/>
          <w:sz w:val="28"/>
          <w:szCs w:val="28"/>
          <w:lang w:val="pt-BR"/>
        </w:rPr>
        <w:t xml:space="preserve">                                                                         </w:t>
      </w:r>
      <w:r w:rsidR="00945CC2" w:rsidRPr="00E91BF1">
        <w:rPr>
          <w:b/>
          <w:sz w:val="28"/>
          <w:szCs w:val="28"/>
          <w:lang w:val="pt-BR"/>
        </w:rPr>
        <w:t xml:space="preserve">                    </w:t>
      </w:r>
      <w:r w:rsidR="00E648B0" w:rsidRPr="00E91BF1">
        <w:rPr>
          <w:b/>
          <w:sz w:val="28"/>
          <w:szCs w:val="28"/>
          <w:lang w:val="pt-BR"/>
        </w:rPr>
        <w:t xml:space="preserve">  </w:t>
      </w:r>
      <w:r w:rsidRPr="00E91BF1">
        <w:rPr>
          <w:b/>
          <w:sz w:val="28"/>
          <w:szCs w:val="28"/>
          <w:lang w:val="pt-BR"/>
        </w:rPr>
        <w:t>CHỦ TỊCH</w:t>
      </w:r>
    </w:p>
    <w:p w:rsidR="00945CC2" w:rsidRPr="00E91BF1" w:rsidRDefault="00945CC2" w:rsidP="000C2410">
      <w:pPr>
        <w:ind w:left="-284" w:firstLine="284"/>
        <w:rPr>
          <w:b/>
          <w:sz w:val="28"/>
          <w:szCs w:val="28"/>
          <w:lang w:val="pt-BR"/>
        </w:rPr>
      </w:pPr>
      <w:r>
        <w:rPr>
          <w:b/>
          <w:sz w:val="26"/>
          <w:szCs w:val="26"/>
          <w:lang w:val="pt-BR"/>
        </w:rPr>
        <w:t xml:space="preserve">                                                                      </w:t>
      </w:r>
      <w:r w:rsidR="00FE399C">
        <w:rPr>
          <w:b/>
          <w:sz w:val="26"/>
          <w:szCs w:val="26"/>
          <w:lang w:val="pt-BR"/>
        </w:rPr>
        <w:t xml:space="preserve">                             </w:t>
      </w:r>
      <w:r w:rsidR="00FE399C" w:rsidRPr="00E91BF1">
        <w:rPr>
          <w:b/>
          <w:sz w:val="28"/>
          <w:szCs w:val="28"/>
          <w:lang w:val="pt-BR"/>
        </w:rPr>
        <w:t>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p w:rsidR="004E2232" w:rsidRDefault="004E2232" w:rsidP="000C2410">
      <w:pPr>
        <w:tabs>
          <w:tab w:val="left" w:pos="6511"/>
        </w:tabs>
        <w:ind w:left="-284" w:firstLine="284"/>
        <w:rPr>
          <w:sz w:val="22"/>
          <w:szCs w:val="22"/>
          <w:lang w:val="pt-BR"/>
        </w:rPr>
      </w:pPr>
    </w:p>
    <w:p w:rsidR="005E7692" w:rsidRDefault="005E7692">
      <w:pPr>
        <w:rPr>
          <w:b/>
          <w:sz w:val="28"/>
          <w:szCs w:val="28"/>
          <w:lang w:val="pt-BR"/>
        </w:rPr>
      </w:pPr>
      <w:r>
        <w:rPr>
          <w:b/>
          <w:sz w:val="28"/>
          <w:szCs w:val="28"/>
          <w:lang w:val="pt-BR"/>
        </w:rPr>
        <w:br w:type="page"/>
      </w:r>
    </w:p>
    <w:p w:rsidR="004E2232" w:rsidRPr="004E2232" w:rsidRDefault="004E2232" w:rsidP="004E2232">
      <w:pPr>
        <w:tabs>
          <w:tab w:val="left" w:pos="6511"/>
        </w:tabs>
        <w:ind w:left="-284" w:firstLine="284"/>
        <w:jc w:val="center"/>
        <w:rPr>
          <w:b/>
          <w:sz w:val="28"/>
          <w:szCs w:val="28"/>
          <w:lang w:val="pt-BR"/>
        </w:rPr>
      </w:pPr>
      <w:r w:rsidRPr="004E2232">
        <w:rPr>
          <w:b/>
          <w:sz w:val="28"/>
          <w:szCs w:val="28"/>
          <w:lang w:val="pt-BR"/>
        </w:rPr>
        <w:lastRenderedPageBreak/>
        <w:t>Phụ Lục</w:t>
      </w:r>
    </w:p>
    <w:p w:rsidR="004E2232" w:rsidRPr="004E2232" w:rsidRDefault="004E2232" w:rsidP="004E2232">
      <w:pPr>
        <w:tabs>
          <w:tab w:val="left" w:pos="6511"/>
        </w:tabs>
        <w:ind w:left="-284" w:firstLine="284"/>
        <w:jc w:val="center"/>
        <w:rPr>
          <w:b/>
          <w:sz w:val="28"/>
          <w:szCs w:val="28"/>
          <w:lang w:val="pt-BR"/>
        </w:rPr>
      </w:pPr>
      <w:r w:rsidRPr="004E2232">
        <w:rPr>
          <w:b/>
          <w:sz w:val="28"/>
          <w:szCs w:val="28"/>
          <w:lang w:val="pt-BR"/>
        </w:rPr>
        <w:t>TIÊU CHUẨN, ĐỊNH MỨC DIỆN TÍCH CHUYÊN DÙNG NHÀ LÀM VIỆC THUỘC TRỤ SỞ LÀM VIỆC CỦA CƠ QUAN, TỔ CHỨC NHÀ LÀM VIỆC THUỘC CƠ SỞ HOẠT ĐỘNG SỰ NGHIỆP THUỘC PHẠM VI QUẢN LÝ CỦA THÀNH PHỐ ĐÀ NẴNG</w:t>
      </w:r>
    </w:p>
    <w:p w:rsidR="004E2232" w:rsidRPr="004E2232" w:rsidRDefault="004E2232" w:rsidP="004E2232">
      <w:pPr>
        <w:tabs>
          <w:tab w:val="left" w:pos="6511"/>
        </w:tabs>
        <w:ind w:left="-284" w:firstLine="284"/>
        <w:jc w:val="center"/>
        <w:rPr>
          <w:i/>
          <w:sz w:val="28"/>
          <w:szCs w:val="28"/>
          <w:lang w:val="pt-BR"/>
        </w:rPr>
      </w:pPr>
      <w:r w:rsidRPr="004E2232">
        <w:rPr>
          <w:i/>
          <w:sz w:val="28"/>
          <w:szCs w:val="28"/>
          <w:lang w:val="pt-BR"/>
        </w:rPr>
        <w:t xml:space="preserve">(Kèm theo Quyết định số 44/2019/QĐ-UBND ngày 15 tháng 10 </w:t>
      </w:r>
    </w:p>
    <w:p w:rsidR="004E2232" w:rsidRPr="004E2232" w:rsidRDefault="004E2232" w:rsidP="004E2232">
      <w:pPr>
        <w:tabs>
          <w:tab w:val="left" w:pos="6511"/>
        </w:tabs>
        <w:ind w:left="-284" w:firstLine="284"/>
        <w:jc w:val="center"/>
        <w:rPr>
          <w:i/>
          <w:sz w:val="28"/>
          <w:szCs w:val="28"/>
          <w:lang w:val="pt-BR"/>
        </w:rPr>
      </w:pPr>
      <w:r w:rsidRPr="004E2232">
        <w:rPr>
          <w:i/>
          <w:sz w:val="28"/>
          <w:szCs w:val="28"/>
          <w:lang w:val="pt-BR"/>
        </w:rPr>
        <w:t>năm 2019 của UBND thành phố đà Nẵng)</w:t>
      </w:r>
    </w:p>
    <w:p w:rsidR="004E2232" w:rsidRDefault="004E2232" w:rsidP="004E2232">
      <w:pPr>
        <w:tabs>
          <w:tab w:val="left" w:pos="6511"/>
        </w:tabs>
        <w:ind w:left="-284" w:firstLine="284"/>
        <w:jc w:val="center"/>
        <w:rPr>
          <w:sz w:val="28"/>
          <w:szCs w:val="28"/>
          <w:lang w:val="pt-BR"/>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660"/>
        <w:gridCol w:w="1701"/>
        <w:gridCol w:w="1418"/>
        <w:gridCol w:w="1275"/>
        <w:gridCol w:w="1231"/>
      </w:tblGrid>
      <w:tr w:rsidR="00BB3049" w:rsidRPr="00D435FD">
        <w:tc>
          <w:tcPr>
            <w:tcW w:w="559" w:type="dxa"/>
            <w:vMerge w:val="restart"/>
          </w:tcPr>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jc w:val="center"/>
              <w:rPr>
                <w:sz w:val="24"/>
                <w:szCs w:val="24"/>
                <w:lang w:val="pt-BR"/>
              </w:rPr>
            </w:pPr>
            <w:r w:rsidRPr="00D435FD">
              <w:rPr>
                <w:sz w:val="24"/>
                <w:szCs w:val="24"/>
                <w:lang w:val="pt-BR"/>
              </w:rPr>
              <w:t>TT</w:t>
            </w:r>
          </w:p>
          <w:p w:rsidR="00BB3049" w:rsidRPr="00D435FD" w:rsidRDefault="00BB3049" w:rsidP="00D435FD">
            <w:pPr>
              <w:tabs>
                <w:tab w:val="left" w:pos="6511"/>
              </w:tabs>
              <w:jc w:val="center"/>
              <w:rPr>
                <w:sz w:val="24"/>
                <w:szCs w:val="24"/>
                <w:lang w:val="pt-BR"/>
              </w:rPr>
            </w:pPr>
          </w:p>
        </w:tc>
        <w:tc>
          <w:tcPr>
            <w:tcW w:w="3660" w:type="dxa"/>
            <w:vMerge w:val="restart"/>
          </w:tcPr>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rPr>
                <w:sz w:val="24"/>
                <w:szCs w:val="24"/>
                <w:lang w:val="pt-BR"/>
              </w:rPr>
            </w:pPr>
            <w:r w:rsidRPr="00D435FD">
              <w:rPr>
                <w:sz w:val="24"/>
                <w:szCs w:val="24"/>
                <w:lang w:val="pt-BR"/>
              </w:rPr>
              <w:t xml:space="preserve">  </w:t>
            </w:r>
          </w:p>
          <w:p w:rsidR="00BB3049" w:rsidRPr="00D435FD" w:rsidRDefault="00BB3049" w:rsidP="00D435FD">
            <w:pPr>
              <w:tabs>
                <w:tab w:val="left" w:pos="6511"/>
              </w:tabs>
              <w:rPr>
                <w:sz w:val="24"/>
                <w:szCs w:val="24"/>
                <w:lang w:val="pt-BR"/>
              </w:rPr>
            </w:pPr>
            <w:r w:rsidRPr="00D435FD">
              <w:rPr>
                <w:sz w:val="24"/>
                <w:szCs w:val="24"/>
                <w:lang w:val="pt-BR"/>
              </w:rPr>
              <w:t xml:space="preserve"> Loại diện tích chuyên  dùng</w:t>
            </w:r>
          </w:p>
        </w:tc>
        <w:tc>
          <w:tcPr>
            <w:tcW w:w="1701" w:type="dxa"/>
            <w:vMerge w:val="restart"/>
          </w:tcPr>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jc w:val="center"/>
              <w:rPr>
                <w:sz w:val="24"/>
                <w:szCs w:val="24"/>
                <w:lang w:val="pt-BR"/>
              </w:rPr>
            </w:pPr>
            <w:r w:rsidRPr="00D435FD">
              <w:rPr>
                <w:sz w:val="24"/>
                <w:szCs w:val="24"/>
                <w:lang w:val="pt-BR"/>
              </w:rPr>
              <w:t>Đơn vị tính</w:t>
            </w:r>
          </w:p>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jc w:val="center"/>
              <w:rPr>
                <w:sz w:val="24"/>
                <w:szCs w:val="24"/>
                <w:lang w:val="pt-BR"/>
              </w:rPr>
            </w:pPr>
          </w:p>
        </w:tc>
        <w:tc>
          <w:tcPr>
            <w:tcW w:w="3924" w:type="dxa"/>
            <w:gridSpan w:val="3"/>
          </w:tcPr>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jc w:val="center"/>
              <w:rPr>
                <w:sz w:val="24"/>
                <w:szCs w:val="24"/>
                <w:lang w:val="pt-BR"/>
              </w:rPr>
            </w:pPr>
            <w:r w:rsidRPr="00D435FD">
              <w:rPr>
                <w:sz w:val="24"/>
                <w:szCs w:val="24"/>
                <w:lang w:val="pt-BR"/>
              </w:rPr>
              <w:t>Diện tích tối đa</w:t>
            </w:r>
          </w:p>
        </w:tc>
      </w:tr>
      <w:tr w:rsidR="00BB3049" w:rsidRPr="00D435FD">
        <w:tc>
          <w:tcPr>
            <w:tcW w:w="559" w:type="dxa"/>
            <w:vMerge/>
          </w:tcPr>
          <w:p w:rsidR="00BB3049" w:rsidRPr="00D435FD" w:rsidRDefault="00BB3049" w:rsidP="00D435FD">
            <w:pPr>
              <w:tabs>
                <w:tab w:val="left" w:pos="6511"/>
              </w:tabs>
              <w:jc w:val="center"/>
              <w:rPr>
                <w:sz w:val="28"/>
                <w:szCs w:val="28"/>
                <w:lang w:val="pt-BR"/>
              </w:rPr>
            </w:pPr>
          </w:p>
        </w:tc>
        <w:tc>
          <w:tcPr>
            <w:tcW w:w="3660" w:type="dxa"/>
            <w:vMerge/>
          </w:tcPr>
          <w:p w:rsidR="00BB3049" w:rsidRPr="00D435FD" w:rsidRDefault="00BB3049" w:rsidP="00D435FD">
            <w:pPr>
              <w:tabs>
                <w:tab w:val="left" w:pos="6511"/>
              </w:tabs>
              <w:jc w:val="both"/>
              <w:rPr>
                <w:sz w:val="24"/>
                <w:szCs w:val="24"/>
                <w:lang w:val="pt-BR"/>
              </w:rPr>
            </w:pPr>
          </w:p>
        </w:tc>
        <w:tc>
          <w:tcPr>
            <w:tcW w:w="1701" w:type="dxa"/>
            <w:vMerge/>
          </w:tcPr>
          <w:p w:rsidR="00BB3049" w:rsidRPr="00D435FD" w:rsidRDefault="00BB3049" w:rsidP="00D435FD">
            <w:pPr>
              <w:tabs>
                <w:tab w:val="left" w:pos="6511"/>
              </w:tabs>
              <w:jc w:val="center"/>
              <w:rPr>
                <w:sz w:val="24"/>
                <w:szCs w:val="24"/>
                <w:lang w:val="pt-BR"/>
              </w:rPr>
            </w:pPr>
          </w:p>
        </w:tc>
        <w:tc>
          <w:tcPr>
            <w:tcW w:w="1418" w:type="dxa"/>
          </w:tcPr>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jc w:val="center"/>
              <w:rPr>
                <w:sz w:val="24"/>
                <w:szCs w:val="24"/>
                <w:lang w:val="pt-BR"/>
              </w:rPr>
            </w:pPr>
            <w:r w:rsidRPr="00D435FD">
              <w:rPr>
                <w:sz w:val="24"/>
                <w:szCs w:val="24"/>
                <w:lang w:val="pt-BR"/>
              </w:rPr>
              <w:t>Cấp thành phố</w:t>
            </w:r>
          </w:p>
        </w:tc>
        <w:tc>
          <w:tcPr>
            <w:tcW w:w="1275" w:type="dxa"/>
          </w:tcPr>
          <w:p w:rsidR="00BB3049" w:rsidRPr="00D435FD" w:rsidRDefault="00BB3049" w:rsidP="00D435FD">
            <w:pPr>
              <w:tabs>
                <w:tab w:val="left" w:pos="6511"/>
              </w:tabs>
              <w:jc w:val="center"/>
              <w:rPr>
                <w:sz w:val="24"/>
                <w:szCs w:val="24"/>
                <w:lang w:val="pt-BR"/>
              </w:rPr>
            </w:pPr>
          </w:p>
          <w:p w:rsidR="00BB3049" w:rsidRPr="00D435FD" w:rsidRDefault="00BB3049" w:rsidP="00D435FD">
            <w:pPr>
              <w:tabs>
                <w:tab w:val="left" w:pos="6511"/>
              </w:tabs>
              <w:jc w:val="center"/>
              <w:rPr>
                <w:sz w:val="24"/>
                <w:szCs w:val="24"/>
                <w:lang w:val="pt-BR"/>
              </w:rPr>
            </w:pPr>
            <w:r w:rsidRPr="00D435FD">
              <w:rPr>
                <w:sz w:val="24"/>
                <w:szCs w:val="24"/>
                <w:lang w:val="pt-BR"/>
              </w:rPr>
              <w:t>Cấp quận, huyện</w:t>
            </w:r>
          </w:p>
        </w:tc>
        <w:tc>
          <w:tcPr>
            <w:tcW w:w="1231" w:type="dxa"/>
          </w:tcPr>
          <w:p w:rsidR="00BB3049" w:rsidRPr="00D435FD" w:rsidRDefault="00BB3049" w:rsidP="00D435FD">
            <w:pPr>
              <w:tabs>
                <w:tab w:val="left" w:pos="6511"/>
              </w:tabs>
              <w:jc w:val="center"/>
              <w:rPr>
                <w:sz w:val="24"/>
                <w:szCs w:val="24"/>
                <w:lang w:val="pt-BR"/>
              </w:rPr>
            </w:pPr>
            <w:r w:rsidRPr="00D435FD">
              <w:rPr>
                <w:sz w:val="24"/>
                <w:szCs w:val="24"/>
                <w:lang w:val="pt-BR"/>
              </w:rPr>
              <w:t>Cấp phường, xã</w:t>
            </w:r>
          </w:p>
        </w:tc>
      </w:tr>
      <w:tr w:rsidR="00BB3049" w:rsidRPr="00D435FD">
        <w:tc>
          <w:tcPr>
            <w:tcW w:w="559" w:type="dxa"/>
          </w:tcPr>
          <w:p w:rsidR="00BB3049" w:rsidRPr="00D435FD" w:rsidRDefault="00BB3049" w:rsidP="00D435FD">
            <w:pPr>
              <w:tabs>
                <w:tab w:val="left" w:pos="6511"/>
              </w:tabs>
              <w:jc w:val="center"/>
              <w:rPr>
                <w:sz w:val="24"/>
                <w:szCs w:val="24"/>
                <w:lang w:val="pt-BR"/>
              </w:rPr>
            </w:pPr>
            <w:r w:rsidRPr="00D435FD">
              <w:rPr>
                <w:sz w:val="24"/>
                <w:szCs w:val="24"/>
                <w:lang w:val="pt-BR"/>
              </w:rPr>
              <w:t>1</w:t>
            </w:r>
          </w:p>
        </w:tc>
        <w:tc>
          <w:tcPr>
            <w:tcW w:w="3660" w:type="dxa"/>
          </w:tcPr>
          <w:p w:rsidR="00BB3049" w:rsidRPr="00D435FD" w:rsidRDefault="00BB3049" w:rsidP="00D435FD">
            <w:pPr>
              <w:tabs>
                <w:tab w:val="left" w:pos="6511"/>
              </w:tabs>
              <w:jc w:val="both"/>
              <w:rPr>
                <w:sz w:val="24"/>
                <w:szCs w:val="24"/>
                <w:lang w:val="pt-BR"/>
              </w:rPr>
            </w:pPr>
            <w:r w:rsidRPr="00D435FD">
              <w:rPr>
                <w:sz w:val="24"/>
                <w:szCs w:val="24"/>
                <w:lang w:val="pt-BR"/>
              </w:rPr>
              <w:t xml:space="preserve">Diện tích sử dụng cho hoạt động tiếp nhận và trả hồ sơ hành chính </w:t>
            </w:r>
          </w:p>
        </w:tc>
        <w:tc>
          <w:tcPr>
            <w:tcW w:w="1701" w:type="dxa"/>
          </w:tcPr>
          <w:p w:rsidR="00BB3049" w:rsidRPr="00D435FD" w:rsidRDefault="00BB3049" w:rsidP="00D435FD">
            <w:pPr>
              <w:tabs>
                <w:tab w:val="left" w:pos="6511"/>
              </w:tabs>
              <w:jc w:val="center"/>
              <w:rPr>
                <w:sz w:val="24"/>
                <w:szCs w:val="24"/>
                <w:lang w:val="pt-BR"/>
              </w:rPr>
            </w:pPr>
            <w:r w:rsidRPr="00D435FD">
              <w:rPr>
                <w:sz w:val="24"/>
                <w:szCs w:val="24"/>
                <w:lang w:val="pt-BR"/>
              </w:rPr>
              <w:t>m²/cơ quan, tổ chức, đơn vị</w:t>
            </w:r>
          </w:p>
        </w:tc>
        <w:tc>
          <w:tcPr>
            <w:tcW w:w="1418" w:type="dxa"/>
          </w:tcPr>
          <w:p w:rsidR="00BB3049" w:rsidRPr="00D435FD" w:rsidRDefault="00BB3049" w:rsidP="00D435FD">
            <w:pPr>
              <w:tabs>
                <w:tab w:val="left" w:pos="6511"/>
              </w:tabs>
              <w:jc w:val="center"/>
              <w:rPr>
                <w:sz w:val="24"/>
                <w:szCs w:val="24"/>
                <w:lang w:val="pt-BR"/>
              </w:rPr>
            </w:pPr>
            <w:r w:rsidRPr="00D435FD">
              <w:rPr>
                <w:sz w:val="24"/>
                <w:szCs w:val="24"/>
                <w:lang w:val="pt-BR"/>
              </w:rPr>
              <w:t>100</w:t>
            </w:r>
          </w:p>
        </w:tc>
        <w:tc>
          <w:tcPr>
            <w:tcW w:w="1275" w:type="dxa"/>
          </w:tcPr>
          <w:p w:rsidR="00BB3049" w:rsidRPr="00D435FD" w:rsidRDefault="00BB3049" w:rsidP="00D435FD">
            <w:pPr>
              <w:tabs>
                <w:tab w:val="left" w:pos="6511"/>
              </w:tabs>
              <w:jc w:val="center"/>
              <w:rPr>
                <w:sz w:val="24"/>
                <w:szCs w:val="24"/>
                <w:lang w:val="pt-BR"/>
              </w:rPr>
            </w:pPr>
            <w:r w:rsidRPr="00D435FD">
              <w:rPr>
                <w:sz w:val="24"/>
                <w:szCs w:val="24"/>
                <w:lang w:val="pt-BR"/>
              </w:rPr>
              <w:t>150</w:t>
            </w:r>
          </w:p>
        </w:tc>
        <w:tc>
          <w:tcPr>
            <w:tcW w:w="1231" w:type="dxa"/>
          </w:tcPr>
          <w:p w:rsidR="00BB3049" w:rsidRPr="00D435FD" w:rsidRDefault="00BB3049" w:rsidP="00D435FD">
            <w:pPr>
              <w:tabs>
                <w:tab w:val="left" w:pos="6511"/>
              </w:tabs>
              <w:jc w:val="center"/>
              <w:rPr>
                <w:sz w:val="24"/>
                <w:szCs w:val="24"/>
                <w:lang w:val="pt-BR"/>
              </w:rPr>
            </w:pPr>
            <w:r w:rsidRPr="00D435FD">
              <w:rPr>
                <w:sz w:val="24"/>
                <w:szCs w:val="24"/>
                <w:lang w:val="pt-BR"/>
              </w:rPr>
              <w:t>80</w:t>
            </w:r>
          </w:p>
        </w:tc>
      </w:tr>
      <w:tr w:rsidR="00BB3049" w:rsidRPr="00D435FD">
        <w:tc>
          <w:tcPr>
            <w:tcW w:w="559" w:type="dxa"/>
          </w:tcPr>
          <w:p w:rsidR="00826499" w:rsidRPr="00D435FD" w:rsidRDefault="00826499" w:rsidP="00D435FD">
            <w:pPr>
              <w:tabs>
                <w:tab w:val="left" w:pos="6511"/>
              </w:tabs>
              <w:jc w:val="center"/>
              <w:rPr>
                <w:sz w:val="24"/>
                <w:szCs w:val="24"/>
                <w:lang w:val="pt-BR"/>
              </w:rPr>
            </w:pPr>
          </w:p>
          <w:p w:rsidR="004E2232" w:rsidRPr="00D435FD" w:rsidRDefault="00BB3049" w:rsidP="00D435FD">
            <w:pPr>
              <w:tabs>
                <w:tab w:val="left" w:pos="6511"/>
              </w:tabs>
              <w:jc w:val="center"/>
              <w:rPr>
                <w:sz w:val="24"/>
                <w:szCs w:val="24"/>
                <w:lang w:val="pt-BR"/>
              </w:rPr>
            </w:pPr>
            <w:r w:rsidRPr="00D435FD">
              <w:rPr>
                <w:sz w:val="24"/>
                <w:szCs w:val="24"/>
                <w:lang w:val="pt-BR"/>
              </w:rPr>
              <w:t>2</w:t>
            </w:r>
          </w:p>
        </w:tc>
        <w:tc>
          <w:tcPr>
            <w:tcW w:w="3660" w:type="dxa"/>
          </w:tcPr>
          <w:p w:rsidR="004E2232" w:rsidRPr="00D435FD" w:rsidRDefault="00BB3049" w:rsidP="00D435FD">
            <w:pPr>
              <w:tabs>
                <w:tab w:val="left" w:pos="6511"/>
              </w:tabs>
              <w:jc w:val="both"/>
              <w:rPr>
                <w:sz w:val="28"/>
                <w:szCs w:val="28"/>
                <w:lang w:val="pt-BR"/>
              </w:rPr>
            </w:pPr>
            <w:r w:rsidRPr="00D435FD">
              <w:rPr>
                <w:sz w:val="24"/>
                <w:szCs w:val="24"/>
                <w:lang w:val="pt-BR"/>
              </w:rPr>
              <w:t>Diện tích sử dụng cho hoạt động tiếp dân</w:t>
            </w:r>
          </w:p>
        </w:tc>
        <w:tc>
          <w:tcPr>
            <w:tcW w:w="1701" w:type="dxa"/>
          </w:tcPr>
          <w:p w:rsidR="004E2232" w:rsidRPr="00D435FD" w:rsidRDefault="00BB3049" w:rsidP="00D435FD">
            <w:pPr>
              <w:tabs>
                <w:tab w:val="left" w:pos="6511"/>
              </w:tabs>
              <w:jc w:val="center"/>
              <w:rPr>
                <w:sz w:val="28"/>
                <w:szCs w:val="28"/>
                <w:lang w:val="pt-BR"/>
              </w:rPr>
            </w:pPr>
            <w:r w:rsidRPr="00D435FD">
              <w:rPr>
                <w:sz w:val="24"/>
                <w:szCs w:val="24"/>
                <w:lang w:val="pt-BR"/>
              </w:rPr>
              <w:t>m²/cơ quan, tổ chức, đơn vị</w:t>
            </w:r>
          </w:p>
        </w:tc>
        <w:tc>
          <w:tcPr>
            <w:tcW w:w="1418" w:type="dxa"/>
          </w:tcPr>
          <w:p w:rsidR="004E2232" w:rsidRPr="00D435FD" w:rsidRDefault="00BB3049" w:rsidP="00D435FD">
            <w:pPr>
              <w:tabs>
                <w:tab w:val="left" w:pos="6511"/>
              </w:tabs>
              <w:jc w:val="center"/>
              <w:rPr>
                <w:sz w:val="24"/>
                <w:szCs w:val="24"/>
                <w:lang w:val="pt-BR"/>
              </w:rPr>
            </w:pPr>
            <w:r w:rsidRPr="00D435FD">
              <w:rPr>
                <w:sz w:val="24"/>
                <w:szCs w:val="24"/>
                <w:lang w:val="pt-BR"/>
              </w:rPr>
              <w:t>100</w:t>
            </w:r>
          </w:p>
        </w:tc>
        <w:tc>
          <w:tcPr>
            <w:tcW w:w="1275" w:type="dxa"/>
          </w:tcPr>
          <w:p w:rsidR="004E2232" w:rsidRPr="00D435FD" w:rsidRDefault="00BB3049" w:rsidP="00D435FD">
            <w:pPr>
              <w:tabs>
                <w:tab w:val="left" w:pos="6511"/>
              </w:tabs>
              <w:jc w:val="center"/>
              <w:rPr>
                <w:sz w:val="24"/>
                <w:szCs w:val="24"/>
                <w:lang w:val="pt-BR"/>
              </w:rPr>
            </w:pPr>
            <w:r w:rsidRPr="00D435FD">
              <w:rPr>
                <w:sz w:val="24"/>
                <w:szCs w:val="24"/>
                <w:lang w:val="pt-BR"/>
              </w:rPr>
              <w:t>50</w:t>
            </w:r>
          </w:p>
        </w:tc>
        <w:tc>
          <w:tcPr>
            <w:tcW w:w="1231" w:type="dxa"/>
          </w:tcPr>
          <w:p w:rsidR="004E2232" w:rsidRPr="00D435FD" w:rsidRDefault="00BB3049" w:rsidP="00D435FD">
            <w:pPr>
              <w:tabs>
                <w:tab w:val="left" w:pos="6511"/>
              </w:tabs>
              <w:jc w:val="center"/>
              <w:rPr>
                <w:sz w:val="24"/>
                <w:szCs w:val="24"/>
                <w:lang w:val="pt-BR"/>
              </w:rPr>
            </w:pPr>
            <w:r w:rsidRPr="00D435FD">
              <w:rPr>
                <w:sz w:val="24"/>
                <w:szCs w:val="24"/>
                <w:lang w:val="pt-BR"/>
              </w:rPr>
              <w:t>40</w:t>
            </w:r>
          </w:p>
        </w:tc>
      </w:tr>
      <w:tr w:rsidR="00BB3049" w:rsidRPr="00D435FD">
        <w:tc>
          <w:tcPr>
            <w:tcW w:w="559" w:type="dxa"/>
          </w:tcPr>
          <w:p w:rsidR="00826499" w:rsidRPr="00D435FD" w:rsidRDefault="00826499" w:rsidP="00D435FD">
            <w:pPr>
              <w:tabs>
                <w:tab w:val="left" w:pos="6511"/>
              </w:tabs>
              <w:jc w:val="center"/>
              <w:rPr>
                <w:sz w:val="24"/>
                <w:szCs w:val="24"/>
                <w:lang w:val="pt-BR"/>
              </w:rPr>
            </w:pPr>
          </w:p>
          <w:p w:rsidR="004E2232" w:rsidRPr="00D435FD" w:rsidRDefault="00BB3049" w:rsidP="00D435FD">
            <w:pPr>
              <w:tabs>
                <w:tab w:val="left" w:pos="6511"/>
              </w:tabs>
              <w:jc w:val="center"/>
              <w:rPr>
                <w:sz w:val="24"/>
                <w:szCs w:val="24"/>
                <w:lang w:val="pt-BR"/>
              </w:rPr>
            </w:pPr>
            <w:r w:rsidRPr="00D435FD">
              <w:rPr>
                <w:sz w:val="24"/>
                <w:szCs w:val="24"/>
                <w:lang w:val="pt-BR"/>
              </w:rPr>
              <w:t>3</w:t>
            </w:r>
          </w:p>
        </w:tc>
        <w:tc>
          <w:tcPr>
            <w:tcW w:w="3660" w:type="dxa"/>
          </w:tcPr>
          <w:p w:rsidR="004E2232" w:rsidRPr="00D435FD" w:rsidRDefault="00BB3049" w:rsidP="00D435FD">
            <w:pPr>
              <w:tabs>
                <w:tab w:val="left" w:pos="6511"/>
              </w:tabs>
              <w:jc w:val="both"/>
              <w:rPr>
                <w:sz w:val="28"/>
                <w:szCs w:val="28"/>
                <w:lang w:val="pt-BR"/>
              </w:rPr>
            </w:pPr>
            <w:r w:rsidRPr="00D435FD">
              <w:rPr>
                <w:sz w:val="24"/>
                <w:szCs w:val="24"/>
                <w:lang w:val="pt-BR"/>
              </w:rPr>
              <w:t>Diện tích quản trị hệ thống công nghệ thông tin</w:t>
            </w:r>
          </w:p>
        </w:tc>
        <w:tc>
          <w:tcPr>
            <w:tcW w:w="1701" w:type="dxa"/>
          </w:tcPr>
          <w:p w:rsidR="004E2232" w:rsidRPr="00D435FD" w:rsidRDefault="00BB3049" w:rsidP="00D435FD">
            <w:pPr>
              <w:tabs>
                <w:tab w:val="left" w:pos="6511"/>
              </w:tabs>
              <w:jc w:val="center"/>
              <w:rPr>
                <w:sz w:val="28"/>
                <w:szCs w:val="28"/>
                <w:lang w:val="pt-BR"/>
              </w:rPr>
            </w:pPr>
            <w:r w:rsidRPr="00D435FD">
              <w:rPr>
                <w:sz w:val="24"/>
                <w:szCs w:val="24"/>
                <w:lang w:val="pt-BR"/>
              </w:rPr>
              <w:t>m²/cơ quan, tổ chức, đơn vị</w:t>
            </w:r>
          </w:p>
        </w:tc>
        <w:tc>
          <w:tcPr>
            <w:tcW w:w="1418" w:type="dxa"/>
          </w:tcPr>
          <w:p w:rsidR="004E2232" w:rsidRPr="00D435FD" w:rsidRDefault="00BB3049" w:rsidP="00D435FD">
            <w:pPr>
              <w:tabs>
                <w:tab w:val="left" w:pos="6511"/>
              </w:tabs>
              <w:jc w:val="center"/>
              <w:rPr>
                <w:sz w:val="24"/>
                <w:szCs w:val="24"/>
                <w:lang w:val="pt-BR"/>
              </w:rPr>
            </w:pPr>
            <w:r w:rsidRPr="00D435FD">
              <w:rPr>
                <w:sz w:val="24"/>
                <w:szCs w:val="24"/>
                <w:lang w:val="pt-BR"/>
              </w:rPr>
              <w:t>100</w:t>
            </w:r>
          </w:p>
        </w:tc>
        <w:tc>
          <w:tcPr>
            <w:tcW w:w="1275" w:type="dxa"/>
          </w:tcPr>
          <w:p w:rsidR="004E2232" w:rsidRPr="00D435FD" w:rsidRDefault="00BB3049" w:rsidP="00D435FD">
            <w:pPr>
              <w:tabs>
                <w:tab w:val="left" w:pos="6511"/>
              </w:tabs>
              <w:jc w:val="center"/>
              <w:rPr>
                <w:sz w:val="24"/>
                <w:szCs w:val="24"/>
                <w:lang w:val="pt-BR"/>
              </w:rPr>
            </w:pPr>
            <w:r w:rsidRPr="00D435FD">
              <w:rPr>
                <w:sz w:val="24"/>
                <w:szCs w:val="24"/>
                <w:lang w:val="pt-BR"/>
              </w:rPr>
              <w:t>50</w:t>
            </w:r>
          </w:p>
        </w:tc>
        <w:tc>
          <w:tcPr>
            <w:tcW w:w="1231" w:type="dxa"/>
          </w:tcPr>
          <w:p w:rsidR="004E2232" w:rsidRPr="00D435FD" w:rsidRDefault="00BB3049" w:rsidP="00D435FD">
            <w:pPr>
              <w:tabs>
                <w:tab w:val="left" w:pos="6511"/>
              </w:tabs>
              <w:jc w:val="center"/>
              <w:rPr>
                <w:sz w:val="24"/>
                <w:szCs w:val="24"/>
                <w:lang w:val="pt-BR"/>
              </w:rPr>
            </w:pPr>
            <w:r w:rsidRPr="00D435FD">
              <w:rPr>
                <w:sz w:val="24"/>
                <w:szCs w:val="24"/>
                <w:lang w:val="pt-BR"/>
              </w:rPr>
              <w:t>50</w:t>
            </w:r>
          </w:p>
        </w:tc>
      </w:tr>
      <w:tr w:rsidR="00BB3049" w:rsidRPr="00D435FD">
        <w:tc>
          <w:tcPr>
            <w:tcW w:w="559" w:type="dxa"/>
          </w:tcPr>
          <w:p w:rsidR="00826499" w:rsidRPr="00D435FD" w:rsidRDefault="00826499" w:rsidP="00D435FD">
            <w:pPr>
              <w:tabs>
                <w:tab w:val="left" w:pos="6511"/>
              </w:tabs>
              <w:jc w:val="center"/>
              <w:rPr>
                <w:sz w:val="24"/>
                <w:szCs w:val="24"/>
                <w:lang w:val="pt-BR"/>
              </w:rPr>
            </w:pPr>
          </w:p>
          <w:p w:rsidR="004E2232" w:rsidRPr="00D435FD" w:rsidRDefault="00826499" w:rsidP="00D435FD">
            <w:pPr>
              <w:tabs>
                <w:tab w:val="left" w:pos="6511"/>
              </w:tabs>
              <w:jc w:val="center"/>
              <w:rPr>
                <w:sz w:val="24"/>
                <w:szCs w:val="24"/>
                <w:lang w:val="pt-BR"/>
              </w:rPr>
            </w:pPr>
            <w:r w:rsidRPr="00D435FD">
              <w:rPr>
                <w:sz w:val="24"/>
                <w:szCs w:val="24"/>
                <w:lang w:val="pt-BR"/>
              </w:rPr>
              <w:t>4</w:t>
            </w:r>
          </w:p>
        </w:tc>
        <w:tc>
          <w:tcPr>
            <w:tcW w:w="3660" w:type="dxa"/>
          </w:tcPr>
          <w:p w:rsidR="004E2232" w:rsidRPr="00D435FD" w:rsidRDefault="00BB3049" w:rsidP="00D435FD">
            <w:pPr>
              <w:tabs>
                <w:tab w:val="left" w:pos="6511"/>
              </w:tabs>
              <w:jc w:val="both"/>
              <w:rPr>
                <w:sz w:val="28"/>
                <w:szCs w:val="28"/>
                <w:lang w:val="pt-BR"/>
              </w:rPr>
            </w:pPr>
            <w:r w:rsidRPr="00D435FD">
              <w:rPr>
                <w:sz w:val="24"/>
                <w:szCs w:val="24"/>
                <w:lang w:val="pt-BR"/>
              </w:rPr>
              <w:t>Diện tích Hội trường lớn (từ 100 chỗ ngồi trở lên)</w:t>
            </w:r>
          </w:p>
        </w:tc>
        <w:tc>
          <w:tcPr>
            <w:tcW w:w="1701" w:type="dxa"/>
          </w:tcPr>
          <w:p w:rsidR="004E2232" w:rsidRPr="00D435FD" w:rsidRDefault="00BB3049" w:rsidP="00D435FD">
            <w:pPr>
              <w:tabs>
                <w:tab w:val="left" w:pos="6511"/>
              </w:tabs>
              <w:jc w:val="center"/>
              <w:rPr>
                <w:sz w:val="28"/>
                <w:szCs w:val="28"/>
                <w:lang w:val="pt-BR"/>
              </w:rPr>
            </w:pPr>
            <w:r w:rsidRPr="00D435FD">
              <w:rPr>
                <w:sz w:val="24"/>
                <w:szCs w:val="24"/>
                <w:lang w:val="pt-BR"/>
              </w:rPr>
              <w:t>m²/chỗ ngồi</w:t>
            </w:r>
          </w:p>
        </w:tc>
        <w:tc>
          <w:tcPr>
            <w:tcW w:w="1418" w:type="dxa"/>
          </w:tcPr>
          <w:p w:rsidR="004E2232" w:rsidRPr="00D435FD" w:rsidRDefault="00BB3049" w:rsidP="00D435FD">
            <w:pPr>
              <w:tabs>
                <w:tab w:val="left" w:pos="6511"/>
              </w:tabs>
              <w:jc w:val="center"/>
              <w:rPr>
                <w:sz w:val="24"/>
                <w:szCs w:val="24"/>
                <w:lang w:val="pt-BR"/>
              </w:rPr>
            </w:pPr>
            <w:r w:rsidRPr="00D435FD">
              <w:rPr>
                <w:sz w:val="24"/>
                <w:szCs w:val="24"/>
                <w:lang w:val="pt-BR"/>
              </w:rPr>
              <w:t>2,0</w:t>
            </w:r>
          </w:p>
        </w:tc>
        <w:tc>
          <w:tcPr>
            <w:tcW w:w="1275" w:type="dxa"/>
          </w:tcPr>
          <w:p w:rsidR="004E2232" w:rsidRPr="00D435FD" w:rsidRDefault="00BB3049" w:rsidP="00D435FD">
            <w:pPr>
              <w:tabs>
                <w:tab w:val="left" w:pos="6511"/>
              </w:tabs>
              <w:jc w:val="center"/>
              <w:rPr>
                <w:sz w:val="24"/>
                <w:szCs w:val="24"/>
                <w:lang w:val="pt-BR"/>
              </w:rPr>
            </w:pPr>
            <w:r w:rsidRPr="00D435FD">
              <w:rPr>
                <w:sz w:val="24"/>
                <w:szCs w:val="24"/>
                <w:lang w:val="pt-BR"/>
              </w:rPr>
              <w:t>2,0</w:t>
            </w:r>
          </w:p>
        </w:tc>
        <w:tc>
          <w:tcPr>
            <w:tcW w:w="1231" w:type="dxa"/>
          </w:tcPr>
          <w:p w:rsidR="004E2232" w:rsidRPr="00D435FD" w:rsidRDefault="00BB3049" w:rsidP="00D435FD">
            <w:pPr>
              <w:tabs>
                <w:tab w:val="left" w:pos="6511"/>
              </w:tabs>
              <w:jc w:val="center"/>
              <w:rPr>
                <w:sz w:val="24"/>
                <w:szCs w:val="24"/>
                <w:lang w:val="pt-BR"/>
              </w:rPr>
            </w:pPr>
            <w:r w:rsidRPr="00D435FD">
              <w:rPr>
                <w:sz w:val="24"/>
                <w:szCs w:val="24"/>
                <w:lang w:val="pt-BR"/>
              </w:rPr>
              <w:t>2,0</w:t>
            </w:r>
          </w:p>
        </w:tc>
      </w:tr>
      <w:tr w:rsidR="00BB3049" w:rsidRPr="00D435FD">
        <w:tc>
          <w:tcPr>
            <w:tcW w:w="559" w:type="dxa"/>
          </w:tcPr>
          <w:p w:rsidR="00826499" w:rsidRPr="00D435FD" w:rsidRDefault="00826499" w:rsidP="00D435FD">
            <w:pPr>
              <w:tabs>
                <w:tab w:val="left" w:pos="6511"/>
              </w:tabs>
              <w:jc w:val="center"/>
              <w:rPr>
                <w:sz w:val="24"/>
                <w:szCs w:val="24"/>
                <w:lang w:val="pt-BR"/>
              </w:rPr>
            </w:pPr>
          </w:p>
          <w:p w:rsidR="004E2232" w:rsidRPr="00D435FD" w:rsidRDefault="00826499" w:rsidP="00D435FD">
            <w:pPr>
              <w:tabs>
                <w:tab w:val="left" w:pos="6511"/>
              </w:tabs>
              <w:jc w:val="center"/>
              <w:rPr>
                <w:sz w:val="24"/>
                <w:szCs w:val="24"/>
                <w:lang w:val="pt-BR"/>
              </w:rPr>
            </w:pPr>
            <w:r w:rsidRPr="00D435FD">
              <w:rPr>
                <w:sz w:val="24"/>
                <w:szCs w:val="24"/>
                <w:lang w:val="pt-BR"/>
              </w:rPr>
              <w:t>5</w:t>
            </w:r>
          </w:p>
        </w:tc>
        <w:tc>
          <w:tcPr>
            <w:tcW w:w="3660" w:type="dxa"/>
          </w:tcPr>
          <w:p w:rsidR="004E2232" w:rsidRPr="00D435FD" w:rsidRDefault="00BB3049" w:rsidP="00D435FD">
            <w:pPr>
              <w:tabs>
                <w:tab w:val="left" w:pos="6511"/>
              </w:tabs>
              <w:jc w:val="both"/>
              <w:rPr>
                <w:sz w:val="28"/>
                <w:szCs w:val="28"/>
                <w:lang w:val="pt-BR"/>
              </w:rPr>
            </w:pPr>
            <w:r w:rsidRPr="00D435FD">
              <w:rPr>
                <w:sz w:val="24"/>
                <w:szCs w:val="24"/>
                <w:lang w:val="pt-BR"/>
              </w:rPr>
              <w:t>Diện tích</w:t>
            </w:r>
            <w:r w:rsidR="00826499" w:rsidRPr="00D435FD">
              <w:rPr>
                <w:sz w:val="24"/>
                <w:szCs w:val="24"/>
                <w:lang w:val="pt-BR"/>
              </w:rPr>
              <w:t xml:space="preserve"> kho chuyên ng</w:t>
            </w:r>
            <w:r w:rsidRPr="00D435FD">
              <w:rPr>
                <w:sz w:val="24"/>
                <w:szCs w:val="24"/>
                <w:lang w:val="pt-BR"/>
              </w:rPr>
              <w:t>ành</w:t>
            </w:r>
          </w:p>
        </w:tc>
        <w:tc>
          <w:tcPr>
            <w:tcW w:w="1701" w:type="dxa"/>
          </w:tcPr>
          <w:p w:rsidR="004E2232" w:rsidRPr="00D435FD" w:rsidRDefault="00BB3049" w:rsidP="00D435FD">
            <w:pPr>
              <w:tabs>
                <w:tab w:val="left" w:pos="6511"/>
              </w:tabs>
              <w:jc w:val="center"/>
              <w:rPr>
                <w:sz w:val="28"/>
                <w:szCs w:val="28"/>
                <w:lang w:val="pt-BR"/>
              </w:rPr>
            </w:pPr>
            <w:r w:rsidRPr="00D435FD">
              <w:rPr>
                <w:sz w:val="24"/>
                <w:szCs w:val="24"/>
                <w:lang w:val="pt-BR"/>
              </w:rPr>
              <w:t>m²/cơ quan, tổ chức, đơn vị</w:t>
            </w:r>
          </w:p>
        </w:tc>
        <w:tc>
          <w:tcPr>
            <w:tcW w:w="1418" w:type="dxa"/>
          </w:tcPr>
          <w:p w:rsidR="004E2232" w:rsidRPr="00D435FD" w:rsidRDefault="00BB3049" w:rsidP="00D435FD">
            <w:pPr>
              <w:tabs>
                <w:tab w:val="left" w:pos="6511"/>
              </w:tabs>
              <w:jc w:val="center"/>
              <w:rPr>
                <w:sz w:val="24"/>
                <w:szCs w:val="24"/>
                <w:lang w:val="pt-BR"/>
              </w:rPr>
            </w:pPr>
            <w:r w:rsidRPr="00D435FD">
              <w:rPr>
                <w:sz w:val="24"/>
                <w:szCs w:val="24"/>
                <w:lang w:val="pt-BR"/>
              </w:rPr>
              <w:t>200</w:t>
            </w:r>
          </w:p>
        </w:tc>
        <w:tc>
          <w:tcPr>
            <w:tcW w:w="1275" w:type="dxa"/>
          </w:tcPr>
          <w:p w:rsidR="004E2232" w:rsidRPr="00D435FD" w:rsidRDefault="00BB3049" w:rsidP="00D435FD">
            <w:pPr>
              <w:tabs>
                <w:tab w:val="left" w:pos="6511"/>
              </w:tabs>
              <w:jc w:val="center"/>
              <w:rPr>
                <w:sz w:val="24"/>
                <w:szCs w:val="24"/>
                <w:lang w:val="pt-BR"/>
              </w:rPr>
            </w:pPr>
            <w:r w:rsidRPr="00D435FD">
              <w:rPr>
                <w:sz w:val="24"/>
                <w:szCs w:val="24"/>
                <w:lang w:val="pt-BR"/>
              </w:rPr>
              <w:t>150</w:t>
            </w:r>
          </w:p>
        </w:tc>
        <w:tc>
          <w:tcPr>
            <w:tcW w:w="1231" w:type="dxa"/>
          </w:tcPr>
          <w:p w:rsidR="004E2232" w:rsidRPr="00D435FD" w:rsidRDefault="00BB3049" w:rsidP="00D435FD">
            <w:pPr>
              <w:tabs>
                <w:tab w:val="left" w:pos="6511"/>
              </w:tabs>
              <w:jc w:val="center"/>
              <w:rPr>
                <w:sz w:val="24"/>
                <w:szCs w:val="24"/>
                <w:lang w:val="pt-BR"/>
              </w:rPr>
            </w:pPr>
            <w:r w:rsidRPr="00D435FD">
              <w:rPr>
                <w:sz w:val="24"/>
                <w:szCs w:val="24"/>
                <w:lang w:val="pt-BR"/>
              </w:rPr>
              <w:t>100</w:t>
            </w:r>
          </w:p>
        </w:tc>
      </w:tr>
      <w:tr w:rsidR="00BB3049" w:rsidRPr="00D435FD">
        <w:tc>
          <w:tcPr>
            <w:tcW w:w="559" w:type="dxa"/>
          </w:tcPr>
          <w:p w:rsidR="00826499" w:rsidRPr="00D435FD" w:rsidRDefault="00826499" w:rsidP="00D435FD">
            <w:pPr>
              <w:tabs>
                <w:tab w:val="left" w:pos="6511"/>
              </w:tabs>
              <w:jc w:val="center"/>
              <w:rPr>
                <w:sz w:val="24"/>
                <w:szCs w:val="24"/>
                <w:lang w:val="pt-BR"/>
              </w:rPr>
            </w:pPr>
          </w:p>
          <w:p w:rsidR="004E2232" w:rsidRPr="00D435FD" w:rsidRDefault="00826499" w:rsidP="00D435FD">
            <w:pPr>
              <w:tabs>
                <w:tab w:val="left" w:pos="6511"/>
              </w:tabs>
              <w:jc w:val="center"/>
              <w:rPr>
                <w:sz w:val="24"/>
                <w:szCs w:val="24"/>
                <w:lang w:val="pt-BR"/>
              </w:rPr>
            </w:pPr>
            <w:r w:rsidRPr="00D435FD">
              <w:rPr>
                <w:sz w:val="24"/>
                <w:szCs w:val="24"/>
                <w:lang w:val="pt-BR"/>
              </w:rPr>
              <w:t>6</w:t>
            </w:r>
          </w:p>
        </w:tc>
        <w:tc>
          <w:tcPr>
            <w:tcW w:w="3660" w:type="dxa"/>
          </w:tcPr>
          <w:p w:rsidR="004E2232" w:rsidRPr="00D435FD" w:rsidRDefault="00BB3049" w:rsidP="00D435FD">
            <w:pPr>
              <w:tabs>
                <w:tab w:val="left" w:pos="6511"/>
              </w:tabs>
              <w:jc w:val="both"/>
              <w:rPr>
                <w:sz w:val="28"/>
                <w:szCs w:val="28"/>
                <w:lang w:val="pt-BR"/>
              </w:rPr>
            </w:pPr>
            <w:r w:rsidRPr="00D435FD">
              <w:rPr>
                <w:sz w:val="24"/>
                <w:szCs w:val="24"/>
                <w:lang w:val="pt-BR"/>
              </w:rPr>
              <w:t>Diện tích khác phục vụ nhiệm vụ đặc thù (trực ban phòng chống thiên tai, ch</w:t>
            </w:r>
            <w:r w:rsidR="00E91BF1" w:rsidRPr="00E91BF1">
              <w:rPr>
                <w:sz w:val="24"/>
                <w:szCs w:val="24"/>
                <w:lang w:val="pt-BR"/>
              </w:rPr>
              <w:t>ống</w:t>
            </w:r>
            <w:r w:rsidRPr="00D435FD">
              <w:rPr>
                <w:sz w:val="24"/>
                <w:szCs w:val="24"/>
                <w:lang w:val="pt-BR"/>
              </w:rPr>
              <w:t xml:space="preserve"> cháy nổ, truyền thanh truyền hình</w:t>
            </w:r>
          </w:p>
        </w:tc>
        <w:tc>
          <w:tcPr>
            <w:tcW w:w="1701" w:type="dxa"/>
          </w:tcPr>
          <w:p w:rsidR="004E2232" w:rsidRPr="00D435FD" w:rsidRDefault="00826499" w:rsidP="00D435FD">
            <w:pPr>
              <w:tabs>
                <w:tab w:val="left" w:pos="6511"/>
              </w:tabs>
              <w:jc w:val="center"/>
              <w:rPr>
                <w:sz w:val="28"/>
                <w:szCs w:val="28"/>
                <w:lang w:val="pt-BR"/>
              </w:rPr>
            </w:pPr>
            <w:r w:rsidRPr="00D435FD">
              <w:rPr>
                <w:sz w:val="24"/>
                <w:szCs w:val="24"/>
                <w:lang w:val="pt-BR"/>
              </w:rPr>
              <w:t>m²/cơ quan, tổ chức, đơn vị</w:t>
            </w:r>
          </w:p>
        </w:tc>
        <w:tc>
          <w:tcPr>
            <w:tcW w:w="1418" w:type="dxa"/>
          </w:tcPr>
          <w:p w:rsidR="00E91BF1" w:rsidRDefault="00E91BF1" w:rsidP="00D435FD">
            <w:pPr>
              <w:tabs>
                <w:tab w:val="left" w:pos="6511"/>
              </w:tabs>
              <w:jc w:val="center"/>
              <w:rPr>
                <w:sz w:val="24"/>
                <w:szCs w:val="24"/>
                <w:lang w:val="pt-BR"/>
              </w:rPr>
            </w:pPr>
          </w:p>
          <w:p w:rsidR="004E2232" w:rsidRPr="00D435FD" w:rsidRDefault="00826499" w:rsidP="00D435FD">
            <w:pPr>
              <w:tabs>
                <w:tab w:val="left" w:pos="6511"/>
              </w:tabs>
              <w:jc w:val="center"/>
              <w:rPr>
                <w:sz w:val="24"/>
                <w:szCs w:val="24"/>
                <w:lang w:val="pt-BR"/>
              </w:rPr>
            </w:pPr>
            <w:r w:rsidRPr="00D435FD">
              <w:rPr>
                <w:sz w:val="24"/>
                <w:szCs w:val="24"/>
                <w:lang w:val="pt-BR"/>
              </w:rPr>
              <w:t>100</w:t>
            </w:r>
          </w:p>
        </w:tc>
        <w:tc>
          <w:tcPr>
            <w:tcW w:w="1275" w:type="dxa"/>
          </w:tcPr>
          <w:p w:rsidR="00E91BF1" w:rsidRDefault="00E91BF1" w:rsidP="00D435FD">
            <w:pPr>
              <w:tabs>
                <w:tab w:val="left" w:pos="6511"/>
              </w:tabs>
              <w:jc w:val="center"/>
              <w:rPr>
                <w:sz w:val="24"/>
                <w:szCs w:val="24"/>
                <w:lang w:val="pt-BR"/>
              </w:rPr>
            </w:pPr>
          </w:p>
          <w:p w:rsidR="004E2232" w:rsidRPr="00D435FD" w:rsidRDefault="00826499" w:rsidP="00D435FD">
            <w:pPr>
              <w:tabs>
                <w:tab w:val="left" w:pos="6511"/>
              </w:tabs>
              <w:jc w:val="center"/>
              <w:rPr>
                <w:sz w:val="24"/>
                <w:szCs w:val="24"/>
                <w:lang w:val="pt-BR"/>
              </w:rPr>
            </w:pPr>
            <w:r w:rsidRPr="00D435FD">
              <w:rPr>
                <w:sz w:val="24"/>
                <w:szCs w:val="24"/>
                <w:lang w:val="pt-BR"/>
              </w:rPr>
              <w:t>100</w:t>
            </w:r>
          </w:p>
        </w:tc>
        <w:tc>
          <w:tcPr>
            <w:tcW w:w="1231" w:type="dxa"/>
          </w:tcPr>
          <w:p w:rsidR="00E91BF1" w:rsidRDefault="00E91BF1" w:rsidP="00D435FD">
            <w:pPr>
              <w:tabs>
                <w:tab w:val="left" w:pos="6511"/>
              </w:tabs>
              <w:jc w:val="center"/>
              <w:rPr>
                <w:sz w:val="24"/>
                <w:szCs w:val="24"/>
                <w:lang w:val="pt-BR"/>
              </w:rPr>
            </w:pPr>
          </w:p>
          <w:p w:rsidR="004E2232" w:rsidRPr="00D435FD" w:rsidRDefault="00826499" w:rsidP="00D435FD">
            <w:pPr>
              <w:tabs>
                <w:tab w:val="left" w:pos="6511"/>
              </w:tabs>
              <w:jc w:val="center"/>
              <w:rPr>
                <w:sz w:val="24"/>
                <w:szCs w:val="24"/>
                <w:lang w:val="pt-BR"/>
              </w:rPr>
            </w:pPr>
            <w:r w:rsidRPr="00D435FD">
              <w:rPr>
                <w:sz w:val="24"/>
                <w:szCs w:val="24"/>
                <w:lang w:val="pt-BR"/>
              </w:rPr>
              <w:t>100</w:t>
            </w:r>
          </w:p>
        </w:tc>
      </w:tr>
    </w:tbl>
    <w:p w:rsidR="004E2232" w:rsidRPr="004E2232" w:rsidRDefault="004E2232" w:rsidP="004E2232">
      <w:pPr>
        <w:tabs>
          <w:tab w:val="left" w:pos="6511"/>
        </w:tabs>
        <w:ind w:left="-284" w:firstLine="284"/>
        <w:jc w:val="center"/>
        <w:rPr>
          <w:sz w:val="28"/>
          <w:szCs w:val="28"/>
          <w:lang w:val="pt-BR"/>
        </w:rPr>
      </w:pPr>
    </w:p>
    <w:sectPr w:rsidR="004E2232" w:rsidRPr="004E2232"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1F" w:rsidRDefault="00934D1F">
      <w:r>
        <w:separator/>
      </w:r>
    </w:p>
  </w:endnote>
  <w:endnote w:type="continuationSeparator" w:id="0">
    <w:p w:rsidR="00934D1F" w:rsidRDefault="0093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sidR="00826499">
      <w:rPr>
        <w:rStyle w:val="PageNumber"/>
      </w:rPr>
      <w:t xml:space="preserve">                             </w:t>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1F" w:rsidRDefault="00934D1F">
      <w:r>
        <w:separator/>
      </w:r>
    </w:p>
  </w:footnote>
  <w:footnote w:type="continuationSeparator" w:id="0">
    <w:p w:rsidR="00934D1F" w:rsidRDefault="00934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625B0D55"/>
    <w:multiLevelType w:val="hybridMultilevel"/>
    <w:tmpl w:val="597A2C3A"/>
    <w:lvl w:ilvl="0" w:tplc="16BA1CB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F925FD"/>
    <w:multiLevelType w:val="hybridMultilevel"/>
    <w:tmpl w:val="A0AEA23E"/>
    <w:lvl w:ilvl="0" w:tplc="73B8DD5C">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15:restartNumberingAfterBreak="0">
    <w:nsid w:val="7D673BBD"/>
    <w:multiLevelType w:val="hybridMultilevel"/>
    <w:tmpl w:val="B9101160"/>
    <w:lvl w:ilvl="0" w:tplc="F1D4E9A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1"/>
  </w:num>
  <w:num w:numId="2">
    <w:abstractNumId w:val="5"/>
  </w:num>
  <w:num w:numId="3">
    <w:abstractNumId w:val="11"/>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37397"/>
    <w:rsid w:val="00140D95"/>
    <w:rsid w:val="001450B3"/>
    <w:rsid w:val="0015194E"/>
    <w:rsid w:val="00153ED0"/>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04BAA"/>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29B1"/>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47E2"/>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2232"/>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3B1"/>
    <w:rsid w:val="005E6C67"/>
    <w:rsid w:val="005E7692"/>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56"/>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26499"/>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96BF4"/>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4D1F"/>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234D"/>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47355"/>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B3049"/>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260F9"/>
    <w:rsid w:val="00D30D0D"/>
    <w:rsid w:val="00D30F95"/>
    <w:rsid w:val="00D32661"/>
    <w:rsid w:val="00D34E9B"/>
    <w:rsid w:val="00D357BF"/>
    <w:rsid w:val="00D35EA5"/>
    <w:rsid w:val="00D377EB"/>
    <w:rsid w:val="00D435FD"/>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1BF1"/>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1ABD"/>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AFA233-4326-4546-A67A-2CA7B899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3</cp:revision>
  <cp:lastPrinted>2018-07-02T07:47:00Z</cp:lastPrinted>
  <dcterms:created xsi:type="dcterms:W3CDTF">2021-04-13T06:17:00Z</dcterms:created>
  <dcterms:modified xsi:type="dcterms:W3CDTF">2021-04-13T06:17:00Z</dcterms:modified>
</cp:coreProperties>
</file>