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1F" w:rsidRDefault="00FD721F"/>
    <w:tbl>
      <w:tblPr>
        <w:tblW w:w="0" w:type="auto"/>
        <w:tblInd w:w="108" w:type="dxa"/>
        <w:tblCellMar>
          <w:left w:w="0" w:type="dxa"/>
          <w:right w:w="0" w:type="dxa"/>
        </w:tblCellMar>
        <w:tblLook w:val="0000" w:firstRow="0" w:lastRow="0" w:firstColumn="0" w:lastColumn="0" w:noHBand="0" w:noVBand="0"/>
      </w:tblPr>
      <w:tblGrid>
        <w:gridCol w:w="3365"/>
        <w:gridCol w:w="5991"/>
      </w:tblGrid>
      <w:tr w:rsidR="00C5535E" w:rsidRPr="00203A36">
        <w:tc>
          <w:tcPr>
            <w:tcW w:w="3365" w:type="dxa"/>
            <w:tcMar>
              <w:top w:w="0" w:type="dxa"/>
              <w:left w:w="108" w:type="dxa"/>
              <w:bottom w:w="0" w:type="dxa"/>
              <w:right w:w="108" w:type="dxa"/>
            </w:tcMar>
          </w:tcPr>
          <w:p w:rsidR="00C5535E" w:rsidRPr="00162D8E" w:rsidRDefault="00B31E32" w:rsidP="00FD721F">
            <w:pPr>
              <w:spacing w:before="100" w:beforeAutospacing="1" w:after="120"/>
              <w:jc w:val="center"/>
              <w:rPr>
                <w:sz w:val="8"/>
                <w:szCs w:val="26"/>
              </w:rPr>
            </w:pPr>
            <w:r w:rsidRPr="00162D8E">
              <w:rPr>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518160</wp:posOffset>
                      </wp:positionH>
                      <wp:positionV relativeFrom="paragraph">
                        <wp:posOffset>430530</wp:posOffset>
                      </wp:positionV>
                      <wp:extent cx="923925" cy="0"/>
                      <wp:effectExtent l="11430" t="8255" r="762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6CC30" id="_x0000_t32" coordsize="21600,21600" o:spt="32" o:oned="t" path="m,l21600,21600e" filled="f">
                      <v:path arrowok="t" fillok="f" o:connecttype="none"/>
                      <o:lock v:ext="edit" shapetype="t"/>
                    </v:shapetype>
                    <v:shape id="AutoShape 6" o:spid="_x0000_s1026" type="#_x0000_t32" style="position:absolute;margin-left:40.8pt;margin-top:33.9pt;width: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oFHQIAADsEAAAOAAAAZHJzL2Uyb0RvYy54bWysU82O2jAQvlfqO1i+Q37Ish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" strokeweight="1pt"/>
                  </w:pict>
                </mc:Fallback>
              </mc:AlternateContent>
            </w:r>
            <w:r w:rsidR="00C5535E" w:rsidRPr="00162D8E">
              <w:rPr>
                <w:bCs/>
                <w:sz w:val="26"/>
                <w:szCs w:val="26"/>
              </w:rPr>
              <w:t>ỦY BAN NHÂN DÂN</w:t>
            </w:r>
            <w:r w:rsidR="00C5535E" w:rsidRPr="00162D8E">
              <w:rPr>
                <w:bCs/>
                <w:sz w:val="26"/>
                <w:szCs w:val="26"/>
              </w:rPr>
              <w:br/>
              <w:t>THÀNH PHỐ ĐÀ NẴNG</w:t>
            </w:r>
            <w:r w:rsidR="00C5535E" w:rsidRPr="00162D8E">
              <w:rPr>
                <w:bCs/>
                <w:sz w:val="26"/>
                <w:szCs w:val="26"/>
              </w:rPr>
              <w:br/>
            </w:r>
          </w:p>
        </w:tc>
        <w:tc>
          <w:tcPr>
            <w:tcW w:w="5991" w:type="dxa"/>
            <w:tcMar>
              <w:top w:w="0" w:type="dxa"/>
              <w:left w:w="108" w:type="dxa"/>
              <w:bottom w:w="0" w:type="dxa"/>
              <w:right w:w="108" w:type="dxa"/>
            </w:tcMar>
          </w:tcPr>
          <w:p w:rsidR="00C5535E" w:rsidRPr="00203A36" w:rsidRDefault="00B31E32" w:rsidP="00D23B23">
            <w:pPr>
              <w:spacing w:before="100" w:beforeAutospacing="1" w:after="120"/>
              <w:jc w:val="center"/>
              <w:rPr>
                <w:sz w:val="2"/>
                <w:szCs w:val="26"/>
              </w:rPr>
            </w:pPr>
            <w:r w:rsidRPr="00162D8E">
              <w:rPr>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723900</wp:posOffset>
                      </wp:positionH>
                      <wp:positionV relativeFrom="paragraph">
                        <wp:posOffset>430530</wp:posOffset>
                      </wp:positionV>
                      <wp:extent cx="2087880" cy="0"/>
                      <wp:effectExtent l="10795" t="8255" r="635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312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3.9pt" to="221.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DEEgIAACk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" strokeweight="1pt"/>
                  </w:pict>
                </mc:Fallback>
              </mc:AlternateContent>
            </w:r>
            <w:r w:rsidR="00C5535E" w:rsidRPr="00162D8E">
              <w:rPr>
                <w:bCs/>
                <w:sz w:val="26"/>
                <w:szCs w:val="26"/>
              </w:rPr>
              <w:t xml:space="preserve">CỘNG HÒA XÃ HỘI CHỦ NGHĨA VIỆT </w:t>
            </w:r>
            <w:smartTag w:uri="urn:schemas-microsoft-com:office:smarttags" w:element="place">
              <w:smartTag w:uri="urn:schemas-microsoft-com:office:smarttags" w:element="country-region">
                <w:r w:rsidR="00C5535E" w:rsidRPr="00162D8E">
                  <w:rPr>
                    <w:bCs/>
                    <w:sz w:val="26"/>
                    <w:szCs w:val="26"/>
                  </w:rPr>
                  <w:t>NAM</w:t>
                </w:r>
              </w:smartTag>
            </w:smartTag>
            <w:r w:rsidR="00C5535E" w:rsidRPr="00162D8E">
              <w:rPr>
                <w:bCs/>
                <w:sz w:val="26"/>
                <w:szCs w:val="26"/>
              </w:rPr>
              <w:br/>
            </w:r>
            <w:r w:rsidR="00C5535E" w:rsidRPr="00203A36">
              <w:rPr>
                <w:b/>
                <w:bCs/>
                <w:sz w:val="28"/>
                <w:szCs w:val="28"/>
              </w:rPr>
              <w:t xml:space="preserve">Độc lập - Tự do - Hạnh phúc </w:t>
            </w:r>
            <w:r w:rsidR="00C5535E" w:rsidRPr="00203A36">
              <w:rPr>
                <w:b/>
                <w:bCs/>
                <w:sz w:val="26"/>
                <w:szCs w:val="26"/>
              </w:rPr>
              <w:br/>
            </w:r>
          </w:p>
        </w:tc>
      </w:tr>
      <w:tr w:rsidR="00C5535E" w:rsidRPr="00203A36">
        <w:tc>
          <w:tcPr>
            <w:tcW w:w="3365" w:type="dxa"/>
            <w:tcMar>
              <w:top w:w="0" w:type="dxa"/>
              <w:left w:w="108" w:type="dxa"/>
              <w:bottom w:w="0" w:type="dxa"/>
              <w:right w:w="108" w:type="dxa"/>
            </w:tcMar>
          </w:tcPr>
          <w:p w:rsidR="00C5535E" w:rsidRPr="00707FA9" w:rsidRDefault="005567E6" w:rsidP="005E33B5">
            <w:pPr>
              <w:spacing w:before="120" w:after="120"/>
              <w:jc w:val="center"/>
              <w:rPr>
                <w:sz w:val="28"/>
                <w:szCs w:val="28"/>
              </w:rPr>
            </w:pPr>
            <w:r>
              <w:rPr>
                <w:sz w:val="28"/>
                <w:szCs w:val="28"/>
              </w:rPr>
              <w:t>Số:20</w:t>
            </w:r>
            <w:r w:rsidR="00C5535E" w:rsidRPr="00707FA9">
              <w:rPr>
                <w:sz w:val="28"/>
                <w:szCs w:val="28"/>
              </w:rPr>
              <w:t>/</w:t>
            </w:r>
            <w:r w:rsidR="005E33B5" w:rsidRPr="00707FA9">
              <w:rPr>
                <w:sz w:val="28"/>
                <w:szCs w:val="28"/>
              </w:rPr>
              <w:t>2018/</w:t>
            </w:r>
            <w:r w:rsidR="00C5535E" w:rsidRPr="00707FA9">
              <w:rPr>
                <w:sz w:val="28"/>
                <w:szCs w:val="28"/>
              </w:rPr>
              <w:t>QĐ-UBND</w:t>
            </w:r>
          </w:p>
        </w:tc>
        <w:tc>
          <w:tcPr>
            <w:tcW w:w="5991" w:type="dxa"/>
            <w:tcMar>
              <w:top w:w="0" w:type="dxa"/>
              <w:left w:w="108" w:type="dxa"/>
              <w:bottom w:w="0" w:type="dxa"/>
              <w:right w:w="108" w:type="dxa"/>
            </w:tcMar>
          </w:tcPr>
          <w:p w:rsidR="00C5535E" w:rsidRPr="00203A36" w:rsidRDefault="005567E6" w:rsidP="005567E6">
            <w:pPr>
              <w:spacing w:before="120" w:after="120"/>
              <w:jc w:val="center"/>
              <w:rPr>
                <w:sz w:val="26"/>
                <w:szCs w:val="26"/>
              </w:rPr>
            </w:pPr>
            <w:r>
              <w:rPr>
                <w:i/>
                <w:iCs/>
                <w:sz w:val="26"/>
                <w:szCs w:val="26"/>
              </w:rPr>
              <w:t xml:space="preserve">       Đà Nẵng, ngày 15 </w:t>
            </w:r>
            <w:r w:rsidR="00162D8E">
              <w:rPr>
                <w:i/>
                <w:iCs/>
                <w:sz w:val="26"/>
                <w:szCs w:val="26"/>
              </w:rPr>
              <w:t>tháng</w:t>
            </w:r>
            <w:r w:rsidR="00C5535E" w:rsidRPr="00203A36">
              <w:rPr>
                <w:i/>
                <w:iCs/>
                <w:sz w:val="26"/>
                <w:szCs w:val="26"/>
              </w:rPr>
              <w:t xml:space="preserve"> </w:t>
            </w:r>
            <w:r w:rsidR="00162D8E">
              <w:rPr>
                <w:i/>
                <w:iCs/>
                <w:sz w:val="26"/>
                <w:szCs w:val="26"/>
              </w:rPr>
              <w:t xml:space="preserve">5  </w:t>
            </w:r>
            <w:r w:rsidR="00C5535E" w:rsidRPr="00203A36">
              <w:rPr>
                <w:i/>
                <w:iCs/>
                <w:sz w:val="26"/>
                <w:szCs w:val="26"/>
              </w:rPr>
              <w:t>năm 201</w:t>
            </w:r>
            <w:r w:rsidR="00664941" w:rsidRPr="00203A36">
              <w:rPr>
                <w:i/>
                <w:iCs/>
                <w:sz w:val="26"/>
                <w:szCs w:val="26"/>
              </w:rPr>
              <w:t>8</w:t>
            </w:r>
          </w:p>
        </w:tc>
      </w:tr>
    </w:tbl>
    <w:p w:rsidR="00062607" w:rsidRPr="007D4E85" w:rsidRDefault="00062607" w:rsidP="00C5535E">
      <w:pPr>
        <w:rPr>
          <w:b/>
          <w:bCs/>
          <w:color w:val="FF0000"/>
          <w:sz w:val="6"/>
          <w:szCs w:val="28"/>
        </w:rPr>
      </w:pPr>
    </w:p>
    <w:p w:rsidR="00EF1E5A" w:rsidRDefault="00EF1E5A" w:rsidP="00C65C24">
      <w:pPr>
        <w:spacing w:before="120"/>
        <w:jc w:val="center"/>
        <w:rPr>
          <w:b/>
          <w:bCs/>
          <w:sz w:val="28"/>
          <w:szCs w:val="28"/>
        </w:rPr>
      </w:pPr>
    </w:p>
    <w:p w:rsidR="00C5535E" w:rsidRPr="00203A36" w:rsidRDefault="00C5535E" w:rsidP="00C65C24">
      <w:pPr>
        <w:spacing w:before="120"/>
        <w:jc w:val="center"/>
        <w:rPr>
          <w:b/>
          <w:sz w:val="28"/>
          <w:szCs w:val="28"/>
        </w:rPr>
      </w:pPr>
      <w:r w:rsidRPr="00203A36">
        <w:rPr>
          <w:b/>
          <w:bCs/>
          <w:sz w:val="28"/>
          <w:szCs w:val="28"/>
        </w:rPr>
        <w:t>QUYẾT ĐỊNH</w:t>
      </w:r>
    </w:p>
    <w:p w:rsidR="005567E6" w:rsidRDefault="00C11D7C" w:rsidP="005567E6">
      <w:pPr>
        <w:jc w:val="center"/>
        <w:rPr>
          <w:b/>
          <w:sz w:val="28"/>
          <w:szCs w:val="28"/>
        </w:rPr>
      </w:pPr>
      <w:r w:rsidRPr="00203A36">
        <w:rPr>
          <w:b/>
          <w:sz w:val="28"/>
          <w:szCs w:val="28"/>
        </w:rPr>
        <w:t>Q</w:t>
      </w:r>
      <w:r w:rsidR="00C5535E" w:rsidRPr="00203A36">
        <w:rPr>
          <w:b/>
          <w:sz w:val="28"/>
          <w:szCs w:val="28"/>
        </w:rPr>
        <w:t>uy định</w:t>
      </w:r>
      <w:r w:rsidR="005567E6">
        <w:rPr>
          <w:b/>
          <w:sz w:val="28"/>
          <w:szCs w:val="28"/>
        </w:rPr>
        <w:t xml:space="preserve"> thời hạn gửi và thẩm định báo cáo quyết toán</w:t>
      </w:r>
    </w:p>
    <w:p w:rsidR="00C5535E" w:rsidRPr="00203A36" w:rsidRDefault="005567E6" w:rsidP="005567E6">
      <w:pPr>
        <w:jc w:val="center"/>
        <w:rPr>
          <w:b/>
          <w:sz w:val="28"/>
          <w:szCs w:val="28"/>
        </w:rPr>
      </w:pPr>
      <w:r>
        <w:rPr>
          <w:b/>
          <w:sz w:val="28"/>
          <w:szCs w:val="28"/>
        </w:rPr>
        <w:t xml:space="preserve"> ngân sách nhà nước hằng năm</w:t>
      </w:r>
      <w:r w:rsidR="00C5535E" w:rsidRPr="00203A36">
        <w:rPr>
          <w:b/>
          <w:sz w:val="28"/>
          <w:szCs w:val="28"/>
        </w:rPr>
        <w:t xml:space="preserve"> </w:t>
      </w:r>
    </w:p>
    <w:p w:rsidR="00EF1E5A" w:rsidRDefault="00EF1E5A" w:rsidP="007D4E85">
      <w:pPr>
        <w:spacing w:before="240" w:after="120"/>
        <w:jc w:val="center"/>
        <w:rPr>
          <w:b/>
          <w:bCs/>
          <w:sz w:val="28"/>
          <w:szCs w:val="28"/>
        </w:rPr>
      </w:pPr>
      <w:bookmarkStart w:id="0" w:name="_GoBack"/>
      <w:r w:rsidRPr="00203A36">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2260600</wp:posOffset>
                </wp:positionH>
                <wp:positionV relativeFrom="paragraph">
                  <wp:posOffset>57150</wp:posOffset>
                </wp:positionV>
                <wp:extent cx="11430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D6E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4.5pt" to="2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e7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" strokeweight="1pt"/>
            </w:pict>
          </mc:Fallback>
        </mc:AlternateContent>
      </w:r>
      <w:bookmarkEnd w:id="0"/>
    </w:p>
    <w:p w:rsidR="00C5535E" w:rsidRDefault="00C5535E" w:rsidP="007D4E85">
      <w:pPr>
        <w:spacing w:before="240" w:after="120"/>
        <w:jc w:val="center"/>
        <w:rPr>
          <w:b/>
          <w:bCs/>
          <w:sz w:val="28"/>
          <w:szCs w:val="28"/>
        </w:rPr>
      </w:pPr>
      <w:r w:rsidRPr="00203A36">
        <w:rPr>
          <w:b/>
          <w:bCs/>
          <w:sz w:val="28"/>
          <w:szCs w:val="28"/>
        </w:rPr>
        <w:t>ỦY BAN NHÂN DÂN THÀNH PHỐ ĐÀ NẴNG</w:t>
      </w:r>
    </w:p>
    <w:p w:rsidR="00C5535E" w:rsidRDefault="00C5535E" w:rsidP="007A4DE5">
      <w:pPr>
        <w:spacing w:before="100" w:after="100"/>
        <w:ind w:firstLine="567"/>
        <w:jc w:val="both"/>
        <w:rPr>
          <w:i/>
          <w:iCs/>
          <w:sz w:val="28"/>
          <w:szCs w:val="28"/>
        </w:rPr>
      </w:pPr>
      <w:r w:rsidRPr="00203A36">
        <w:rPr>
          <w:i/>
          <w:iCs/>
          <w:sz w:val="28"/>
          <w:szCs w:val="28"/>
        </w:rPr>
        <w:t>Căn cứ Luật Tổ chức chính quyền địa phương ngày 19 tháng 6 năm 2015;</w:t>
      </w:r>
    </w:p>
    <w:p w:rsidR="00210CE0" w:rsidRPr="00203A36" w:rsidRDefault="00210CE0" w:rsidP="007A4DE5">
      <w:pPr>
        <w:spacing w:before="100" w:after="100"/>
        <w:ind w:firstLine="567"/>
        <w:jc w:val="both"/>
        <w:rPr>
          <w:i/>
          <w:iCs/>
          <w:sz w:val="28"/>
          <w:szCs w:val="28"/>
        </w:rPr>
      </w:pPr>
      <w:r w:rsidRPr="00203A36">
        <w:rPr>
          <w:i/>
          <w:iCs/>
          <w:sz w:val="28"/>
          <w:szCs w:val="28"/>
        </w:rPr>
        <w:t xml:space="preserve">Căn cứ Luật </w:t>
      </w:r>
      <w:r w:rsidR="002E1C10">
        <w:rPr>
          <w:i/>
          <w:iCs/>
          <w:sz w:val="28"/>
          <w:szCs w:val="28"/>
        </w:rPr>
        <w:t>Ngân sách nhà nước ngày 25</w:t>
      </w:r>
      <w:r w:rsidRPr="00203A36">
        <w:rPr>
          <w:i/>
          <w:iCs/>
          <w:sz w:val="28"/>
          <w:szCs w:val="28"/>
        </w:rPr>
        <w:t xml:space="preserve"> tháng </w:t>
      </w:r>
      <w:r w:rsidR="002E1C10">
        <w:rPr>
          <w:i/>
          <w:iCs/>
          <w:sz w:val="28"/>
          <w:szCs w:val="28"/>
        </w:rPr>
        <w:t>6  năm 2015</w:t>
      </w:r>
      <w:r w:rsidRPr="00203A36">
        <w:rPr>
          <w:i/>
          <w:iCs/>
          <w:sz w:val="28"/>
          <w:szCs w:val="28"/>
        </w:rPr>
        <w:t>;</w:t>
      </w:r>
    </w:p>
    <w:p w:rsidR="00C5535E" w:rsidRDefault="00C5535E" w:rsidP="007A4DE5">
      <w:pPr>
        <w:spacing w:before="100" w:after="100"/>
        <w:ind w:firstLine="567"/>
        <w:jc w:val="both"/>
        <w:rPr>
          <w:i/>
          <w:iCs/>
          <w:sz w:val="28"/>
          <w:szCs w:val="28"/>
        </w:rPr>
      </w:pPr>
      <w:r w:rsidRPr="00203A36">
        <w:rPr>
          <w:i/>
          <w:iCs/>
          <w:sz w:val="28"/>
          <w:szCs w:val="28"/>
        </w:rPr>
        <w:t xml:space="preserve">Căn cứ Nghị định số </w:t>
      </w:r>
      <w:r w:rsidR="002E1C10">
        <w:rPr>
          <w:i/>
          <w:iCs/>
          <w:sz w:val="28"/>
          <w:szCs w:val="28"/>
        </w:rPr>
        <w:t>163/2016</w:t>
      </w:r>
      <w:r w:rsidRPr="00203A36">
        <w:rPr>
          <w:i/>
          <w:iCs/>
          <w:sz w:val="28"/>
          <w:szCs w:val="28"/>
        </w:rPr>
        <w:t xml:space="preserve">/NĐ-CP ngày </w:t>
      </w:r>
      <w:r w:rsidR="002E1C10">
        <w:rPr>
          <w:i/>
          <w:iCs/>
          <w:sz w:val="28"/>
          <w:szCs w:val="28"/>
        </w:rPr>
        <w:t>21</w:t>
      </w:r>
      <w:r w:rsidR="007A4DE5">
        <w:rPr>
          <w:i/>
          <w:iCs/>
          <w:sz w:val="28"/>
          <w:szCs w:val="28"/>
        </w:rPr>
        <w:t xml:space="preserve"> th</w:t>
      </w:r>
      <w:r w:rsidR="007A4DE5" w:rsidRPr="007A4DE5">
        <w:rPr>
          <w:i/>
          <w:iCs/>
          <w:sz w:val="28"/>
          <w:szCs w:val="28"/>
        </w:rPr>
        <w:t>áng</w:t>
      </w:r>
      <w:r w:rsidR="007A4DE5">
        <w:rPr>
          <w:i/>
          <w:iCs/>
          <w:sz w:val="28"/>
          <w:szCs w:val="28"/>
        </w:rPr>
        <w:t xml:space="preserve"> </w:t>
      </w:r>
      <w:r w:rsidR="002E1C10">
        <w:rPr>
          <w:i/>
          <w:iCs/>
          <w:sz w:val="28"/>
          <w:szCs w:val="28"/>
        </w:rPr>
        <w:t xml:space="preserve">12 </w:t>
      </w:r>
      <w:r w:rsidR="007A4DE5">
        <w:rPr>
          <w:i/>
          <w:iCs/>
          <w:sz w:val="28"/>
          <w:szCs w:val="28"/>
        </w:rPr>
        <w:t xml:space="preserve"> n</w:t>
      </w:r>
      <w:r w:rsidR="007A4DE5" w:rsidRPr="007A4DE5">
        <w:rPr>
          <w:i/>
          <w:iCs/>
          <w:sz w:val="28"/>
          <w:szCs w:val="28"/>
        </w:rPr>
        <w:t>ă</w:t>
      </w:r>
      <w:r w:rsidR="007A4DE5">
        <w:rPr>
          <w:i/>
          <w:iCs/>
          <w:sz w:val="28"/>
          <w:szCs w:val="28"/>
        </w:rPr>
        <w:t xml:space="preserve">m </w:t>
      </w:r>
      <w:r w:rsidR="002E1C10">
        <w:rPr>
          <w:i/>
          <w:iCs/>
          <w:sz w:val="28"/>
          <w:szCs w:val="28"/>
        </w:rPr>
        <w:t>2016</w:t>
      </w:r>
      <w:r w:rsidRPr="00203A36">
        <w:rPr>
          <w:i/>
          <w:iCs/>
          <w:sz w:val="28"/>
          <w:szCs w:val="28"/>
        </w:rPr>
        <w:t xml:space="preserve"> của Chính phủ </w:t>
      </w:r>
      <w:r w:rsidR="002E1C10">
        <w:rPr>
          <w:i/>
          <w:iCs/>
          <w:sz w:val="28"/>
          <w:szCs w:val="28"/>
        </w:rPr>
        <w:t xml:space="preserve">Quy định chi tiết thi hành một số điều của Luật Ngân sách nhà nước </w:t>
      </w:r>
      <w:r w:rsidRPr="00203A36">
        <w:rPr>
          <w:i/>
          <w:iCs/>
          <w:sz w:val="28"/>
          <w:szCs w:val="28"/>
        </w:rPr>
        <w:t>;</w:t>
      </w:r>
    </w:p>
    <w:p w:rsidR="00470E83" w:rsidRPr="00203A36" w:rsidRDefault="00470E83" w:rsidP="007A4DE5">
      <w:pPr>
        <w:spacing w:before="100" w:after="100"/>
        <w:ind w:firstLine="567"/>
        <w:jc w:val="both"/>
        <w:rPr>
          <w:i/>
          <w:iCs/>
          <w:sz w:val="28"/>
          <w:szCs w:val="28"/>
        </w:rPr>
      </w:pPr>
      <w:r>
        <w:rPr>
          <w:i/>
          <w:iCs/>
          <w:sz w:val="28"/>
          <w:szCs w:val="28"/>
        </w:rPr>
        <w:t>C</w:t>
      </w:r>
      <w:r w:rsidRPr="00470E83">
        <w:rPr>
          <w:i/>
          <w:iCs/>
          <w:sz w:val="28"/>
          <w:szCs w:val="28"/>
        </w:rPr>
        <w:t>ă</w:t>
      </w:r>
      <w:r>
        <w:rPr>
          <w:i/>
          <w:iCs/>
          <w:sz w:val="28"/>
          <w:szCs w:val="28"/>
        </w:rPr>
        <w:t>n c</w:t>
      </w:r>
      <w:r w:rsidRPr="00470E83">
        <w:rPr>
          <w:i/>
          <w:iCs/>
          <w:sz w:val="28"/>
          <w:szCs w:val="28"/>
        </w:rPr>
        <w:t>ứ</w:t>
      </w:r>
      <w:r>
        <w:rPr>
          <w:i/>
          <w:iCs/>
          <w:sz w:val="28"/>
          <w:szCs w:val="28"/>
        </w:rPr>
        <w:t xml:space="preserve"> </w:t>
      </w:r>
      <w:r w:rsidR="002E1C10">
        <w:rPr>
          <w:i/>
          <w:iCs/>
          <w:sz w:val="28"/>
          <w:szCs w:val="28"/>
        </w:rPr>
        <w:t xml:space="preserve">Thông tư số 342/2016/TT-BTC  ngày 30 </w:t>
      </w:r>
      <w:r w:rsidR="007A4DE5">
        <w:rPr>
          <w:i/>
          <w:iCs/>
          <w:sz w:val="28"/>
          <w:szCs w:val="28"/>
        </w:rPr>
        <w:t>th</w:t>
      </w:r>
      <w:r w:rsidR="007A4DE5" w:rsidRPr="007A4DE5">
        <w:rPr>
          <w:i/>
          <w:iCs/>
          <w:sz w:val="28"/>
          <w:szCs w:val="28"/>
        </w:rPr>
        <w:t>áng</w:t>
      </w:r>
      <w:r w:rsidR="007A4DE5">
        <w:rPr>
          <w:i/>
          <w:iCs/>
          <w:sz w:val="28"/>
          <w:szCs w:val="28"/>
        </w:rPr>
        <w:t xml:space="preserve"> </w:t>
      </w:r>
      <w:r w:rsidR="002E1C10">
        <w:rPr>
          <w:i/>
          <w:iCs/>
          <w:sz w:val="28"/>
          <w:szCs w:val="28"/>
        </w:rPr>
        <w:t xml:space="preserve">12 </w:t>
      </w:r>
      <w:r w:rsidR="007A4DE5">
        <w:rPr>
          <w:i/>
          <w:iCs/>
          <w:sz w:val="28"/>
          <w:szCs w:val="28"/>
        </w:rPr>
        <w:t>n</w:t>
      </w:r>
      <w:r w:rsidR="007A4DE5" w:rsidRPr="007A4DE5">
        <w:rPr>
          <w:i/>
          <w:iCs/>
          <w:sz w:val="28"/>
          <w:szCs w:val="28"/>
        </w:rPr>
        <w:t>ă</w:t>
      </w:r>
      <w:r w:rsidR="007A4DE5">
        <w:rPr>
          <w:i/>
          <w:iCs/>
          <w:sz w:val="28"/>
          <w:szCs w:val="28"/>
        </w:rPr>
        <w:t xml:space="preserve">m </w:t>
      </w:r>
      <w:r w:rsidR="002E1C10">
        <w:rPr>
          <w:i/>
          <w:iCs/>
          <w:sz w:val="28"/>
          <w:szCs w:val="28"/>
        </w:rPr>
        <w:t>2016</w:t>
      </w:r>
      <w:r w:rsidR="005B00A5" w:rsidRPr="005B00A5">
        <w:rPr>
          <w:i/>
          <w:iCs/>
          <w:sz w:val="28"/>
          <w:szCs w:val="28"/>
        </w:rPr>
        <w:t xml:space="preserve"> của </w:t>
      </w:r>
      <w:r w:rsidR="002E1C10">
        <w:rPr>
          <w:i/>
          <w:iCs/>
          <w:sz w:val="28"/>
          <w:szCs w:val="28"/>
        </w:rPr>
        <w:t xml:space="preserve">Bộ Tài chính quy định </w:t>
      </w:r>
      <w:r w:rsidR="005B00A5" w:rsidRPr="005B00A5">
        <w:rPr>
          <w:i/>
          <w:iCs/>
          <w:sz w:val="28"/>
          <w:szCs w:val="28"/>
        </w:rPr>
        <w:t xml:space="preserve">chi tiết thi hành </w:t>
      </w:r>
      <w:r w:rsidR="002E1C10">
        <w:rPr>
          <w:i/>
          <w:iCs/>
          <w:sz w:val="28"/>
          <w:szCs w:val="28"/>
        </w:rPr>
        <w:t xml:space="preserve">và hướng dẫn thi hành một số </w:t>
      </w:r>
      <w:r w:rsidR="005B00A5" w:rsidRPr="005B00A5">
        <w:rPr>
          <w:i/>
          <w:iCs/>
          <w:sz w:val="28"/>
          <w:szCs w:val="28"/>
        </w:rPr>
        <w:t>điều của</w:t>
      </w:r>
      <w:r w:rsidR="002E1C10">
        <w:rPr>
          <w:i/>
          <w:iCs/>
          <w:sz w:val="28"/>
          <w:szCs w:val="28"/>
        </w:rPr>
        <w:t xml:space="preserve"> Nghị định </w:t>
      </w:r>
      <w:r w:rsidR="002E1C10" w:rsidRPr="00203A36">
        <w:rPr>
          <w:i/>
          <w:iCs/>
          <w:sz w:val="28"/>
          <w:szCs w:val="28"/>
        </w:rPr>
        <w:t xml:space="preserve">số </w:t>
      </w:r>
      <w:r w:rsidR="002E1C10">
        <w:rPr>
          <w:i/>
          <w:iCs/>
          <w:sz w:val="28"/>
          <w:szCs w:val="28"/>
        </w:rPr>
        <w:t>163/2016</w:t>
      </w:r>
      <w:r w:rsidR="002E1C10" w:rsidRPr="00203A36">
        <w:rPr>
          <w:i/>
          <w:iCs/>
          <w:sz w:val="28"/>
          <w:szCs w:val="28"/>
        </w:rPr>
        <w:t xml:space="preserve">/NĐ-CP ngày </w:t>
      </w:r>
      <w:r w:rsidR="002E1C10">
        <w:rPr>
          <w:i/>
          <w:iCs/>
          <w:sz w:val="28"/>
          <w:szCs w:val="28"/>
        </w:rPr>
        <w:t>21 th</w:t>
      </w:r>
      <w:r w:rsidR="002E1C10" w:rsidRPr="007A4DE5">
        <w:rPr>
          <w:i/>
          <w:iCs/>
          <w:sz w:val="28"/>
          <w:szCs w:val="28"/>
        </w:rPr>
        <w:t>áng</w:t>
      </w:r>
      <w:r w:rsidR="002E1C10">
        <w:rPr>
          <w:i/>
          <w:iCs/>
          <w:sz w:val="28"/>
          <w:szCs w:val="28"/>
        </w:rPr>
        <w:t xml:space="preserve"> 12  n</w:t>
      </w:r>
      <w:r w:rsidR="002E1C10" w:rsidRPr="007A4DE5">
        <w:rPr>
          <w:i/>
          <w:iCs/>
          <w:sz w:val="28"/>
          <w:szCs w:val="28"/>
        </w:rPr>
        <w:t>ă</w:t>
      </w:r>
      <w:r w:rsidR="002E1C10">
        <w:rPr>
          <w:i/>
          <w:iCs/>
          <w:sz w:val="28"/>
          <w:szCs w:val="28"/>
        </w:rPr>
        <w:t>m 2016</w:t>
      </w:r>
      <w:r w:rsidR="002E1C10" w:rsidRPr="00203A36">
        <w:rPr>
          <w:i/>
          <w:iCs/>
          <w:sz w:val="28"/>
          <w:szCs w:val="28"/>
        </w:rPr>
        <w:t xml:space="preserve"> của Chính phủ</w:t>
      </w:r>
      <w:r w:rsidR="002E1C10">
        <w:rPr>
          <w:i/>
          <w:iCs/>
          <w:sz w:val="28"/>
          <w:szCs w:val="28"/>
        </w:rPr>
        <w:t xml:space="preserve"> quy định </w:t>
      </w:r>
      <w:r w:rsidR="002E1C10" w:rsidRPr="005B00A5">
        <w:rPr>
          <w:i/>
          <w:iCs/>
          <w:sz w:val="28"/>
          <w:szCs w:val="28"/>
        </w:rPr>
        <w:t>chi tiết thi hành</w:t>
      </w:r>
      <w:r w:rsidR="005B00A5" w:rsidRPr="005B00A5">
        <w:rPr>
          <w:i/>
          <w:iCs/>
          <w:sz w:val="28"/>
          <w:szCs w:val="28"/>
        </w:rPr>
        <w:t xml:space="preserve"> </w:t>
      </w:r>
      <w:r w:rsidR="002E1C10">
        <w:rPr>
          <w:i/>
          <w:iCs/>
          <w:sz w:val="28"/>
          <w:szCs w:val="28"/>
        </w:rPr>
        <w:t xml:space="preserve">một số </w:t>
      </w:r>
      <w:r w:rsidR="002E1C10" w:rsidRPr="005B00A5">
        <w:rPr>
          <w:i/>
          <w:iCs/>
          <w:sz w:val="28"/>
          <w:szCs w:val="28"/>
        </w:rPr>
        <w:t xml:space="preserve">điều </w:t>
      </w:r>
      <w:r w:rsidR="002E1C10">
        <w:rPr>
          <w:i/>
          <w:iCs/>
          <w:sz w:val="28"/>
          <w:szCs w:val="28"/>
        </w:rPr>
        <w:t>của Luật Ngân sách nhà nước</w:t>
      </w:r>
      <w:r w:rsidR="005B00A5">
        <w:rPr>
          <w:i/>
          <w:iCs/>
          <w:sz w:val="28"/>
          <w:szCs w:val="28"/>
        </w:rPr>
        <w:t>;</w:t>
      </w:r>
      <w:r w:rsidR="005B00A5" w:rsidRPr="005B00A5">
        <w:rPr>
          <w:i/>
          <w:iCs/>
          <w:sz w:val="28"/>
          <w:szCs w:val="28"/>
        </w:rPr>
        <w:t xml:space="preserve"> </w:t>
      </w:r>
    </w:p>
    <w:p w:rsidR="00C0296E" w:rsidRDefault="002E1C10" w:rsidP="007A4DE5">
      <w:pPr>
        <w:spacing w:before="100" w:after="100"/>
        <w:ind w:firstLine="567"/>
        <w:jc w:val="both"/>
        <w:rPr>
          <w:i/>
          <w:iCs/>
          <w:sz w:val="28"/>
          <w:szCs w:val="28"/>
        </w:rPr>
      </w:pPr>
      <w:r>
        <w:rPr>
          <w:i/>
          <w:iCs/>
          <w:sz w:val="28"/>
          <w:szCs w:val="28"/>
        </w:rPr>
        <w:t>C</w:t>
      </w:r>
      <w:r w:rsidRPr="00470E83">
        <w:rPr>
          <w:i/>
          <w:iCs/>
          <w:sz w:val="28"/>
          <w:szCs w:val="28"/>
        </w:rPr>
        <w:t>ă</w:t>
      </w:r>
      <w:r>
        <w:rPr>
          <w:i/>
          <w:iCs/>
          <w:sz w:val="28"/>
          <w:szCs w:val="28"/>
        </w:rPr>
        <w:t>n c</w:t>
      </w:r>
      <w:r w:rsidRPr="00470E83">
        <w:rPr>
          <w:i/>
          <w:iCs/>
          <w:sz w:val="28"/>
          <w:szCs w:val="28"/>
        </w:rPr>
        <w:t>ứ</w:t>
      </w:r>
      <w:r>
        <w:rPr>
          <w:i/>
          <w:iCs/>
          <w:sz w:val="28"/>
          <w:szCs w:val="28"/>
        </w:rPr>
        <w:t xml:space="preserve"> Thông tư số 85/2017/TT-BTC  ngày 15 th</w:t>
      </w:r>
      <w:r w:rsidRPr="007A4DE5">
        <w:rPr>
          <w:i/>
          <w:iCs/>
          <w:sz w:val="28"/>
          <w:szCs w:val="28"/>
        </w:rPr>
        <w:t>áng</w:t>
      </w:r>
      <w:r>
        <w:rPr>
          <w:i/>
          <w:iCs/>
          <w:sz w:val="28"/>
          <w:szCs w:val="28"/>
        </w:rPr>
        <w:t xml:space="preserve"> 8 n</w:t>
      </w:r>
      <w:r w:rsidRPr="007A4DE5">
        <w:rPr>
          <w:i/>
          <w:iCs/>
          <w:sz w:val="28"/>
          <w:szCs w:val="28"/>
        </w:rPr>
        <w:t>ă</w:t>
      </w:r>
      <w:r>
        <w:rPr>
          <w:i/>
          <w:iCs/>
          <w:sz w:val="28"/>
          <w:szCs w:val="28"/>
        </w:rPr>
        <w:t>m 2017</w:t>
      </w:r>
      <w:r w:rsidRPr="005B00A5">
        <w:rPr>
          <w:i/>
          <w:iCs/>
          <w:sz w:val="28"/>
          <w:szCs w:val="28"/>
        </w:rPr>
        <w:t xml:space="preserve"> của </w:t>
      </w:r>
      <w:r>
        <w:rPr>
          <w:i/>
          <w:iCs/>
          <w:sz w:val="28"/>
          <w:szCs w:val="28"/>
        </w:rPr>
        <w:t>Bộ Tài chính</w:t>
      </w:r>
      <w:r w:rsidRPr="002E1C10">
        <w:rPr>
          <w:i/>
          <w:iCs/>
          <w:sz w:val="28"/>
          <w:szCs w:val="28"/>
        </w:rPr>
        <w:t xml:space="preserve"> </w:t>
      </w:r>
      <w:r>
        <w:rPr>
          <w:i/>
          <w:iCs/>
          <w:sz w:val="28"/>
          <w:szCs w:val="28"/>
        </w:rPr>
        <w:t xml:space="preserve">quy định việc quyết toán tình hình sử dụng vốn </w:t>
      </w:r>
      <w:r w:rsidR="00C0296E">
        <w:rPr>
          <w:i/>
          <w:iCs/>
          <w:sz w:val="28"/>
          <w:szCs w:val="28"/>
        </w:rPr>
        <w:t>đầu tư nguồn ngân sách nhà nước theo niên độ ngân sách hằng năm;</w:t>
      </w:r>
    </w:p>
    <w:p w:rsidR="00C0296E" w:rsidRDefault="00C0296E" w:rsidP="007A4DE5">
      <w:pPr>
        <w:spacing w:before="100" w:after="100"/>
        <w:ind w:firstLine="567"/>
        <w:jc w:val="both"/>
        <w:rPr>
          <w:i/>
          <w:iCs/>
          <w:sz w:val="28"/>
          <w:szCs w:val="28"/>
        </w:rPr>
      </w:pPr>
      <w:r>
        <w:rPr>
          <w:i/>
          <w:iCs/>
          <w:sz w:val="28"/>
          <w:szCs w:val="28"/>
        </w:rPr>
        <w:t>C</w:t>
      </w:r>
      <w:r w:rsidRPr="00470E83">
        <w:rPr>
          <w:i/>
          <w:iCs/>
          <w:sz w:val="28"/>
          <w:szCs w:val="28"/>
        </w:rPr>
        <w:t>ă</w:t>
      </w:r>
      <w:r>
        <w:rPr>
          <w:i/>
          <w:iCs/>
          <w:sz w:val="28"/>
          <w:szCs w:val="28"/>
        </w:rPr>
        <w:t>n c</w:t>
      </w:r>
      <w:r w:rsidRPr="00470E83">
        <w:rPr>
          <w:i/>
          <w:iCs/>
          <w:sz w:val="28"/>
          <w:szCs w:val="28"/>
        </w:rPr>
        <w:t>ứ</w:t>
      </w:r>
      <w:r>
        <w:rPr>
          <w:i/>
          <w:iCs/>
          <w:sz w:val="28"/>
          <w:szCs w:val="28"/>
        </w:rPr>
        <w:t xml:space="preserve"> Thông tư số 137/2017/TT-BTC  ngày 25 th</w:t>
      </w:r>
      <w:r w:rsidRPr="007A4DE5">
        <w:rPr>
          <w:i/>
          <w:iCs/>
          <w:sz w:val="28"/>
          <w:szCs w:val="28"/>
        </w:rPr>
        <w:t>áng</w:t>
      </w:r>
      <w:r>
        <w:rPr>
          <w:i/>
          <w:iCs/>
          <w:sz w:val="28"/>
          <w:szCs w:val="28"/>
        </w:rPr>
        <w:t xml:space="preserve"> 12 n</w:t>
      </w:r>
      <w:r w:rsidRPr="007A4DE5">
        <w:rPr>
          <w:i/>
          <w:iCs/>
          <w:sz w:val="28"/>
          <w:szCs w:val="28"/>
        </w:rPr>
        <w:t>ă</w:t>
      </w:r>
      <w:r>
        <w:rPr>
          <w:i/>
          <w:iCs/>
          <w:sz w:val="28"/>
          <w:szCs w:val="28"/>
        </w:rPr>
        <w:t>m 2017</w:t>
      </w:r>
      <w:r w:rsidRPr="00C0296E">
        <w:rPr>
          <w:i/>
          <w:iCs/>
          <w:sz w:val="28"/>
          <w:szCs w:val="28"/>
        </w:rPr>
        <w:t xml:space="preserve"> </w:t>
      </w:r>
      <w:r w:rsidRPr="005B00A5">
        <w:rPr>
          <w:i/>
          <w:iCs/>
          <w:sz w:val="28"/>
          <w:szCs w:val="28"/>
        </w:rPr>
        <w:t xml:space="preserve">của </w:t>
      </w:r>
      <w:r>
        <w:rPr>
          <w:i/>
          <w:iCs/>
          <w:sz w:val="28"/>
          <w:szCs w:val="28"/>
        </w:rPr>
        <w:t>Bộ Tài chính</w:t>
      </w:r>
      <w:r w:rsidRPr="002E1C10">
        <w:rPr>
          <w:i/>
          <w:iCs/>
          <w:sz w:val="28"/>
          <w:szCs w:val="28"/>
        </w:rPr>
        <w:t xml:space="preserve"> </w:t>
      </w:r>
      <w:r>
        <w:rPr>
          <w:i/>
          <w:iCs/>
          <w:sz w:val="28"/>
          <w:szCs w:val="28"/>
        </w:rPr>
        <w:t>quy định xét duyệt, thẩm định, thông báo và tổng hợp quyết toán năm;</w:t>
      </w:r>
    </w:p>
    <w:p w:rsidR="00C5535E" w:rsidRPr="007A4DE5" w:rsidRDefault="00C0296E" w:rsidP="007A4DE5">
      <w:pPr>
        <w:spacing w:before="100" w:after="100"/>
        <w:ind w:firstLine="567"/>
        <w:jc w:val="both"/>
        <w:rPr>
          <w:iCs/>
          <w:sz w:val="28"/>
          <w:szCs w:val="28"/>
        </w:rPr>
      </w:pPr>
      <w:r>
        <w:rPr>
          <w:i/>
          <w:iCs/>
          <w:sz w:val="28"/>
          <w:szCs w:val="28"/>
        </w:rPr>
        <w:t xml:space="preserve">Xét </w:t>
      </w:r>
      <w:r w:rsidR="00C5535E" w:rsidRPr="00203A36">
        <w:rPr>
          <w:i/>
          <w:iCs/>
          <w:sz w:val="28"/>
          <w:szCs w:val="28"/>
        </w:rPr>
        <w:t xml:space="preserve">đề nghị của Giám đốc Sở Tài </w:t>
      </w:r>
      <w:r>
        <w:rPr>
          <w:i/>
          <w:iCs/>
          <w:sz w:val="28"/>
          <w:szCs w:val="28"/>
        </w:rPr>
        <w:t xml:space="preserve">chính thành phố Đà Nẵng </w:t>
      </w:r>
      <w:r w:rsidR="00C5535E" w:rsidRPr="00203A36">
        <w:rPr>
          <w:i/>
          <w:iCs/>
          <w:sz w:val="28"/>
          <w:szCs w:val="28"/>
        </w:rPr>
        <w:t xml:space="preserve">tại Tờ trình số          </w:t>
      </w:r>
      <w:r w:rsidR="007D4E85">
        <w:rPr>
          <w:i/>
          <w:iCs/>
          <w:sz w:val="28"/>
          <w:szCs w:val="28"/>
        </w:rPr>
        <w:t xml:space="preserve">                        </w:t>
      </w:r>
      <w:r>
        <w:rPr>
          <w:i/>
          <w:iCs/>
          <w:sz w:val="28"/>
          <w:szCs w:val="28"/>
        </w:rPr>
        <w:t>11</w:t>
      </w:r>
      <w:r w:rsidR="000E4E74">
        <w:rPr>
          <w:i/>
          <w:iCs/>
          <w:sz w:val="28"/>
          <w:szCs w:val="28"/>
        </w:rPr>
        <w:t>4</w:t>
      </w:r>
      <w:r w:rsidR="00C5535E" w:rsidRPr="00203A36">
        <w:rPr>
          <w:i/>
          <w:iCs/>
          <w:sz w:val="28"/>
          <w:szCs w:val="28"/>
        </w:rPr>
        <w:t>/TTr-STNMT ngày</w:t>
      </w:r>
      <w:r w:rsidR="00DA0CBC">
        <w:rPr>
          <w:i/>
          <w:iCs/>
          <w:sz w:val="28"/>
          <w:szCs w:val="28"/>
        </w:rPr>
        <w:t xml:space="preserve"> </w:t>
      </w:r>
      <w:r>
        <w:rPr>
          <w:i/>
          <w:iCs/>
          <w:sz w:val="28"/>
          <w:szCs w:val="28"/>
        </w:rPr>
        <w:t>13</w:t>
      </w:r>
      <w:r w:rsidR="00DA0CBC">
        <w:rPr>
          <w:i/>
          <w:iCs/>
          <w:sz w:val="28"/>
          <w:szCs w:val="28"/>
        </w:rPr>
        <w:t xml:space="preserve"> </w:t>
      </w:r>
      <w:r w:rsidR="00C5535E" w:rsidRPr="00203A36">
        <w:rPr>
          <w:i/>
          <w:iCs/>
          <w:sz w:val="28"/>
          <w:szCs w:val="28"/>
        </w:rPr>
        <w:t>tháng</w:t>
      </w:r>
      <w:r w:rsidR="007D4E85">
        <w:rPr>
          <w:i/>
          <w:iCs/>
          <w:sz w:val="28"/>
          <w:szCs w:val="28"/>
        </w:rPr>
        <w:t xml:space="preserve"> 4 </w:t>
      </w:r>
      <w:r w:rsidR="00DA0CBC">
        <w:rPr>
          <w:i/>
          <w:iCs/>
          <w:sz w:val="28"/>
          <w:szCs w:val="28"/>
        </w:rPr>
        <w:t xml:space="preserve">năm </w:t>
      </w:r>
      <w:r w:rsidR="00664941" w:rsidRPr="00203A36">
        <w:rPr>
          <w:i/>
          <w:iCs/>
          <w:sz w:val="28"/>
          <w:szCs w:val="28"/>
        </w:rPr>
        <w:t>2018</w:t>
      </w:r>
      <w:r w:rsidR="005B00A5">
        <w:rPr>
          <w:i/>
          <w:iCs/>
          <w:sz w:val="28"/>
          <w:szCs w:val="28"/>
        </w:rPr>
        <w:t xml:space="preserve"> v</w:t>
      </w:r>
      <w:r w:rsidR="005B00A5" w:rsidRPr="005B00A5">
        <w:rPr>
          <w:i/>
          <w:iCs/>
          <w:sz w:val="28"/>
          <w:szCs w:val="28"/>
        </w:rPr>
        <w:t xml:space="preserve">à ý kiến thẩm định của Sở Tư pháp tại </w:t>
      </w:r>
      <w:r w:rsidR="005B00A5">
        <w:rPr>
          <w:i/>
          <w:iCs/>
          <w:sz w:val="28"/>
          <w:szCs w:val="28"/>
        </w:rPr>
        <w:t>C</w:t>
      </w:r>
      <w:r w:rsidR="005B00A5" w:rsidRPr="005B00A5">
        <w:rPr>
          <w:i/>
          <w:iCs/>
          <w:sz w:val="28"/>
          <w:szCs w:val="28"/>
        </w:rPr>
        <w:t>ô</w:t>
      </w:r>
      <w:r w:rsidR="007A4DE5">
        <w:rPr>
          <w:i/>
          <w:iCs/>
          <w:sz w:val="28"/>
          <w:szCs w:val="28"/>
        </w:rPr>
        <w:t xml:space="preserve">ng văn số </w:t>
      </w:r>
      <w:r>
        <w:rPr>
          <w:i/>
          <w:iCs/>
          <w:sz w:val="28"/>
          <w:szCs w:val="28"/>
        </w:rPr>
        <w:t>1037/STP-XDKTVB ngày 12</w:t>
      </w:r>
      <w:r w:rsidR="007A4DE5">
        <w:rPr>
          <w:i/>
          <w:iCs/>
          <w:sz w:val="28"/>
          <w:szCs w:val="28"/>
        </w:rPr>
        <w:t xml:space="preserve"> th</w:t>
      </w:r>
      <w:r w:rsidR="007A4DE5" w:rsidRPr="007A4DE5">
        <w:rPr>
          <w:i/>
          <w:iCs/>
          <w:sz w:val="28"/>
          <w:szCs w:val="28"/>
        </w:rPr>
        <w:t>áng</w:t>
      </w:r>
      <w:r w:rsidR="007A4DE5">
        <w:rPr>
          <w:i/>
          <w:iCs/>
          <w:sz w:val="28"/>
          <w:szCs w:val="28"/>
        </w:rPr>
        <w:t xml:space="preserve"> </w:t>
      </w:r>
      <w:r>
        <w:rPr>
          <w:i/>
          <w:iCs/>
          <w:sz w:val="28"/>
          <w:szCs w:val="28"/>
        </w:rPr>
        <w:t>4</w:t>
      </w:r>
      <w:r w:rsidR="007A4DE5">
        <w:rPr>
          <w:i/>
          <w:iCs/>
          <w:sz w:val="28"/>
          <w:szCs w:val="28"/>
        </w:rPr>
        <w:t xml:space="preserve"> n</w:t>
      </w:r>
      <w:r w:rsidR="007A4DE5" w:rsidRPr="007A4DE5">
        <w:rPr>
          <w:i/>
          <w:iCs/>
          <w:sz w:val="28"/>
          <w:szCs w:val="28"/>
        </w:rPr>
        <w:t>ă</w:t>
      </w:r>
      <w:r w:rsidR="007A4DE5">
        <w:rPr>
          <w:i/>
          <w:iCs/>
          <w:sz w:val="28"/>
          <w:szCs w:val="28"/>
        </w:rPr>
        <w:t xml:space="preserve">m </w:t>
      </w:r>
      <w:r w:rsidR="005B00A5" w:rsidRPr="005B00A5">
        <w:rPr>
          <w:i/>
          <w:iCs/>
          <w:sz w:val="28"/>
          <w:szCs w:val="28"/>
        </w:rPr>
        <w:t>2018</w:t>
      </w:r>
      <w:r w:rsidR="007A4DE5">
        <w:rPr>
          <w:iCs/>
          <w:sz w:val="28"/>
          <w:szCs w:val="28"/>
        </w:rPr>
        <w:t>.</w:t>
      </w:r>
    </w:p>
    <w:p w:rsidR="00C5535E" w:rsidRPr="00203A36" w:rsidRDefault="00C5535E" w:rsidP="00B358F8">
      <w:pPr>
        <w:spacing w:before="240" w:after="240"/>
        <w:jc w:val="center"/>
        <w:rPr>
          <w:b/>
          <w:bCs/>
          <w:sz w:val="28"/>
          <w:szCs w:val="28"/>
        </w:rPr>
      </w:pPr>
      <w:r w:rsidRPr="00203A36">
        <w:rPr>
          <w:b/>
          <w:bCs/>
          <w:sz w:val="28"/>
          <w:szCs w:val="28"/>
        </w:rPr>
        <w:t>QUYẾT ĐỊNH:</w:t>
      </w:r>
    </w:p>
    <w:p w:rsidR="00C0296E" w:rsidRDefault="00C5535E" w:rsidP="005B00A5">
      <w:pPr>
        <w:spacing w:before="120" w:after="120"/>
        <w:ind w:firstLine="567"/>
        <w:jc w:val="both"/>
        <w:rPr>
          <w:sz w:val="28"/>
          <w:szCs w:val="28"/>
        </w:rPr>
      </w:pPr>
      <w:r w:rsidRPr="00203A36">
        <w:rPr>
          <w:b/>
          <w:bCs/>
          <w:sz w:val="28"/>
          <w:szCs w:val="28"/>
        </w:rPr>
        <w:t>Điều 1</w:t>
      </w:r>
      <w:r w:rsidRPr="00C0296E">
        <w:rPr>
          <w:b/>
          <w:bCs/>
          <w:sz w:val="28"/>
          <w:szCs w:val="28"/>
        </w:rPr>
        <w:t>.</w:t>
      </w:r>
      <w:r w:rsidRPr="00C0296E">
        <w:rPr>
          <w:b/>
          <w:sz w:val="28"/>
          <w:szCs w:val="28"/>
        </w:rPr>
        <w:t xml:space="preserve"> </w:t>
      </w:r>
      <w:r w:rsidR="00C0296E" w:rsidRPr="00C0296E">
        <w:rPr>
          <w:b/>
          <w:sz w:val="28"/>
          <w:szCs w:val="28"/>
        </w:rPr>
        <w:t>Phạm vi áp dụng</w:t>
      </w:r>
    </w:p>
    <w:p w:rsidR="00C5535E" w:rsidRPr="00203A36" w:rsidRDefault="00C0296E" w:rsidP="005B00A5">
      <w:pPr>
        <w:spacing w:before="120" w:after="120"/>
        <w:ind w:firstLine="567"/>
        <w:jc w:val="both"/>
        <w:rPr>
          <w:sz w:val="28"/>
          <w:szCs w:val="28"/>
        </w:rPr>
      </w:pPr>
      <w:r>
        <w:rPr>
          <w:sz w:val="28"/>
          <w:szCs w:val="28"/>
        </w:rPr>
        <w:t>Quyết định này quy định thời hạn gửi báo cáo quyết toán ngân sách nhà nước hàng năn của đơn vị thuộc thành phố Đà Nẵng</w:t>
      </w:r>
      <w:r w:rsidR="007721AF">
        <w:rPr>
          <w:sz w:val="28"/>
          <w:szCs w:val="28"/>
        </w:rPr>
        <w:t>; thời gian thẩm định quyết toán ngân sách của cơ quan tài chính cho các đơn vị dự toán cấp</w:t>
      </w:r>
      <w:r w:rsidR="00790053">
        <w:rPr>
          <w:sz w:val="28"/>
          <w:szCs w:val="28"/>
        </w:rPr>
        <w:t xml:space="preserve"> I </w:t>
      </w:r>
      <w:r w:rsidR="007721AF">
        <w:rPr>
          <w:sz w:val="28"/>
          <w:szCs w:val="28"/>
        </w:rPr>
        <w:t xml:space="preserve">các cấp ở địa phương. </w:t>
      </w:r>
    </w:p>
    <w:p w:rsidR="007721AF" w:rsidRDefault="00C5535E" w:rsidP="007A4DE5">
      <w:pPr>
        <w:spacing w:before="80" w:after="80"/>
        <w:ind w:firstLine="567"/>
        <w:jc w:val="both"/>
        <w:rPr>
          <w:sz w:val="28"/>
          <w:szCs w:val="28"/>
        </w:rPr>
      </w:pPr>
      <w:r w:rsidRPr="00203A36">
        <w:rPr>
          <w:b/>
          <w:bCs/>
          <w:sz w:val="28"/>
          <w:szCs w:val="28"/>
        </w:rPr>
        <w:t>Điều 2</w:t>
      </w:r>
      <w:r w:rsidRPr="007721AF">
        <w:rPr>
          <w:b/>
          <w:bCs/>
          <w:sz w:val="28"/>
          <w:szCs w:val="28"/>
        </w:rPr>
        <w:t>.</w:t>
      </w:r>
      <w:r w:rsidRPr="007721AF">
        <w:rPr>
          <w:b/>
          <w:sz w:val="28"/>
          <w:szCs w:val="28"/>
        </w:rPr>
        <w:t xml:space="preserve"> </w:t>
      </w:r>
      <w:r w:rsidR="007721AF" w:rsidRPr="007721AF">
        <w:rPr>
          <w:b/>
          <w:sz w:val="28"/>
          <w:szCs w:val="28"/>
        </w:rPr>
        <w:t>Đối tượng áp dụng</w:t>
      </w:r>
    </w:p>
    <w:p w:rsidR="007721AF" w:rsidRDefault="007721AF" w:rsidP="007A4DE5">
      <w:pPr>
        <w:spacing w:before="80" w:after="80"/>
        <w:ind w:firstLine="567"/>
        <w:jc w:val="both"/>
        <w:rPr>
          <w:sz w:val="28"/>
          <w:szCs w:val="28"/>
        </w:rPr>
      </w:pPr>
      <w:r>
        <w:rPr>
          <w:sz w:val="28"/>
          <w:szCs w:val="28"/>
        </w:rPr>
        <w:t xml:space="preserve">Các cơ quan hành chính nhà nước, tổ chức chính trị, tổ chức chính trị - xã hội, đơn vị sự nghiệp công lập, tổ chức chính trị xã hội - nghề nghiệp, tổ chức xã hội, tổ chức xã hội- nghề nghiệp, các tổ chức khác có sử dụng kinh phí ngân sách nhà nước </w:t>
      </w:r>
      <w:r>
        <w:rPr>
          <w:sz w:val="28"/>
          <w:szCs w:val="28"/>
        </w:rPr>
        <w:lastRenderedPageBreak/>
        <w:t>(gọi tắc là đơn vị dự toán), chủ đâù tư và các cấp chính quyền địa phương; cơ quan tài chính các cấp ở địa phương.</w:t>
      </w:r>
    </w:p>
    <w:p w:rsidR="007721AF" w:rsidRDefault="00C5535E" w:rsidP="007A4DE5">
      <w:pPr>
        <w:spacing w:before="80" w:after="80"/>
        <w:ind w:firstLine="567"/>
        <w:jc w:val="both"/>
        <w:rPr>
          <w:b/>
          <w:bCs/>
          <w:sz w:val="28"/>
          <w:szCs w:val="28"/>
        </w:rPr>
      </w:pPr>
      <w:r w:rsidRPr="00203A36">
        <w:rPr>
          <w:b/>
          <w:bCs/>
          <w:sz w:val="28"/>
          <w:szCs w:val="28"/>
        </w:rPr>
        <w:t>Điều</w:t>
      </w:r>
      <w:r w:rsidR="00DA0074" w:rsidRPr="00203A36">
        <w:rPr>
          <w:b/>
          <w:bCs/>
          <w:sz w:val="28"/>
          <w:szCs w:val="28"/>
        </w:rPr>
        <w:t xml:space="preserve"> 3</w:t>
      </w:r>
      <w:r w:rsidRPr="00203A36">
        <w:rPr>
          <w:b/>
          <w:bCs/>
          <w:sz w:val="28"/>
          <w:szCs w:val="28"/>
        </w:rPr>
        <w:t>.</w:t>
      </w:r>
      <w:r w:rsidR="007721AF">
        <w:rPr>
          <w:b/>
          <w:bCs/>
          <w:sz w:val="28"/>
          <w:szCs w:val="28"/>
        </w:rPr>
        <w:t>Thời hạn gửi báo cáo quyết toán ngân sách</w:t>
      </w:r>
    </w:p>
    <w:p w:rsidR="007721AF" w:rsidRDefault="007721AF" w:rsidP="007721AF">
      <w:pPr>
        <w:spacing w:before="80" w:after="80"/>
        <w:jc w:val="both"/>
        <w:rPr>
          <w:bCs/>
          <w:sz w:val="28"/>
          <w:szCs w:val="28"/>
        </w:rPr>
      </w:pPr>
      <w:r>
        <w:rPr>
          <w:bCs/>
          <w:sz w:val="28"/>
          <w:szCs w:val="28"/>
        </w:rPr>
        <w:t xml:space="preserve">         1.</w:t>
      </w:r>
      <w:r w:rsidRPr="007721AF">
        <w:rPr>
          <w:bCs/>
          <w:sz w:val="28"/>
          <w:szCs w:val="28"/>
        </w:rPr>
        <w:t>Đối với đơn vị dự toán các cấp</w:t>
      </w:r>
    </w:p>
    <w:p w:rsidR="007721AF" w:rsidRDefault="007721AF" w:rsidP="007721AF">
      <w:pPr>
        <w:spacing w:before="80" w:after="80"/>
        <w:jc w:val="both"/>
        <w:rPr>
          <w:bCs/>
          <w:sz w:val="28"/>
          <w:szCs w:val="28"/>
        </w:rPr>
      </w:pPr>
      <w:r>
        <w:rPr>
          <w:bCs/>
          <w:sz w:val="28"/>
          <w:szCs w:val="28"/>
        </w:rPr>
        <w:t xml:space="preserve">          a) cấp thành phố:</w:t>
      </w:r>
    </w:p>
    <w:p w:rsidR="007721AF" w:rsidRDefault="007721AF" w:rsidP="007721AF">
      <w:pPr>
        <w:spacing w:before="80" w:after="80"/>
        <w:jc w:val="both"/>
        <w:rPr>
          <w:sz w:val="28"/>
          <w:szCs w:val="28"/>
        </w:rPr>
      </w:pPr>
      <w:r>
        <w:rPr>
          <w:bCs/>
          <w:sz w:val="28"/>
          <w:szCs w:val="28"/>
        </w:rPr>
        <w:t xml:space="preserve">    - Trường hợp đơn vị dự toán cấp I đồng thời là đơn vị sử dụng ngân sách (không có đơn vị trực thuộc) </w:t>
      </w:r>
      <w:r>
        <w:rPr>
          <w:sz w:val="28"/>
          <w:szCs w:val="28"/>
        </w:rPr>
        <w:t>gửi báo cáo quyết toán ngân sách đến cơ quan Tài chính chậm nhất đến hết ngày 31 tháng 3 năm sau để cơ quan Tài chính xét duyệt và thông báo kết quả xét duyệt quyết toán năm theo quy định</w:t>
      </w:r>
    </w:p>
    <w:p w:rsidR="00DF44AA" w:rsidRDefault="007721AF" w:rsidP="007721AF">
      <w:pPr>
        <w:spacing w:before="80" w:after="80"/>
        <w:jc w:val="both"/>
        <w:rPr>
          <w:bCs/>
          <w:sz w:val="28"/>
          <w:szCs w:val="28"/>
        </w:rPr>
      </w:pPr>
      <w:r>
        <w:rPr>
          <w:sz w:val="28"/>
          <w:szCs w:val="28"/>
        </w:rPr>
        <w:t xml:space="preserve">   - </w:t>
      </w:r>
      <w:r>
        <w:rPr>
          <w:bCs/>
          <w:sz w:val="28"/>
          <w:szCs w:val="28"/>
        </w:rPr>
        <w:t xml:space="preserve"> Trường hợp đơn vị dự toán cấp I </w:t>
      </w:r>
      <w:r w:rsidR="00DF44AA">
        <w:rPr>
          <w:bCs/>
          <w:sz w:val="28"/>
          <w:szCs w:val="28"/>
        </w:rPr>
        <w:t>có các đơn vị trực thuộc, thì đơn vị dự toán cấp I quy định thời hạn gửi báo cáo quyết toán đối với các đơn vị trực thuộc nhưng phải đảm bảo thời gian để hợp đơn vị dự toán cấp I thực hiện xét duyệt, tổng hợp quyết toán gửi cơ quan Tài chính chậm nhất đến hết ngày 29 tháng 4 năm sau để cơ quan Tài chính thẩm định và thông báo kết quả thẩm định quyết toán năm theo quy định</w:t>
      </w:r>
    </w:p>
    <w:p w:rsidR="00CF243F" w:rsidRDefault="00DF44AA" w:rsidP="007721AF">
      <w:pPr>
        <w:spacing w:before="80" w:after="80"/>
        <w:jc w:val="both"/>
        <w:rPr>
          <w:bCs/>
          <w:sz w:val="28"/>
          <w:szCs w:val="28"/>
        </w:rPr>
      </w:pPr>
      <w:r>
        <w:rPr>
          <w:bCs/>
          <w:sz w:val="28"/>
          <w:szCs w:val="28"/>
        </w:rPr>
        <w:t xml:space="preserve">     b) Cấp quận, huyện: các cơ quan, đơn vị  dự toán cấp I  quy định thời hạn gửi báo cáo quyết toán đối với các đơn vị trực thuộc nhưng phải đảm bảo thời gian để đơn vị  dự toán cấp I thực hiện xét duyệt, thẩm định, tổng hợp quyết toán gửi cơ quan Tài chính</w:t>
      </w:r>
      <w:r w:rsidR="00CF243F">
        <w:rPr>
          <w:bCs/>
          <w:sz w:val="28"/>
          <w:szCs w:val="28"/>
        </w:rPr>
        <w:t xml:space="preserve"> chậm nhất đến hết ngày 31 tháng 3 năm sau</w:t>
      </w:r>
    </w:p>
    <w:p w:rsidR="00CF243F" w:rsidRDefault="00CF243F" w:rsidP="007721AF">
      <w:pPr>
        <w:spacing w:before="80" w:after="80"/>
        <w:jc w:val="both"/>
        <w:rPr>
          <w:bCs/>
          <w:sz w:val="28"/>
          <w:szCs w:val="28"/>
        </w:rPr>
      </w:pPr>
      <w:r>
        <w:rPr>
          <w:bCs/>
          <w:sz w:val="28"/>
          <w:szCs w:val="28"/>
        </w:rPr>
        <w:t xml:space="preserve">   </w:t>
      </w:r>
    </w:p>
    <w:p w:rsidR="00CF243F" w:rsidRDefault="00CF243F" w:rsidP="007721AF">
      <w:pPr>
        <w:spacing w:before="80" w:after="80"/>
        <w:jc w:val="both"/>
        <w:rPr>
          <w:bCs/>
          <w:sz w:val="28"/>
          <w:szCs w:val="28"/>
        </w:rPr>
      </w:pPr>
      <w:r>
        <w:rPr>
          <w:bCs/>
          <w:sz w:val="28"/>
          <w:szCs w:val="28"/>
        </w:rPr>
        <w:t xml:space="preserve">   2. Đối với các chủ đầu tư, Ban quản lý dự án</w:t>
      </w:r>
    </w:p>
    <w:p w:rsidR="00CF243F" w:rsidRDefault="00CF243F" w:rsidP="00CF243F">
      <w:pPr>
        <w:spacing w:before="80" w:after="80"/>
        <w:jc w:val="both"/>
        <w:rPr>
          <w:bCs/>
          <w:sz w:val="28"/>
          <w:szCs w:val="28"/>
        </w:rPr>
      </w:pPr>
      <w:r>
        <w:rPr>
          <w:bCs/>
          <w:sz w:val="28"/>
          <w:szCs w:val="28"/>
        </w:rPr>
        <w:t xml:space="preserve">   </w:t>
      </w:r>
      <w:r w:rsidR="00DF44AA">
        <w:rPr>
          <w:bCs/>
          <w:sz w:val="28"/>
          <w:szCs w:val="28"/>
        </w:rPr>
        <w:t xml:space="preserve"> </w:t>
      </w:r>
      <w:r>
        <w:rPr>
          <w:bCs/>
          <w:sz w:val="28"/>
          <w:szCs w:val="28"/>
        </w:rPr>
        <w:t xml:space="preserve">a) </w:t>
      </w:r>
      <w:r w:rsidR="00DF44AA">
        <w:rPr>
          <w:bCs/>
          <w:sz w:val="28"/>
          <w:szCs w:val="28"/>
        </w:rPr>
        <w:t xml:space="preserve"> </w:t>
      </w:r>
      <w:r>
        <w:rPr>
          <w:bCs/>
          <w:sz w:val="28"/>
          <w:szCs w:val="28"/>
        </w:rPr>
        <w:t>các chủ đầu tư, Ban quản lý dự án lập báo cáo quyết toán tình hình sử dụng vốn đầu tư nguồn ngân sách nhà nước theo các biểu số 01/CĐT, 02/CĐT, 03/CĐT, 04/CĐT theo quy định tại Thông tư số 85/2017/TT-BTC ngày 15 tháng 8 năm 2017 của Bộ Tài chính gửi cơ quan cấp trên được phân cấp quản lý (Sở, Ban, ngành) chậm nhất đến hết ngày 31 tháng 3 năm sau.</w:t>
      </w:r>
    </w:p>
    <w:p w:rsidR="00CF243F" w:rsidRDefault="00CF243F" w:rsidP="00CF243F">
      <w:pPr>
        <w:spacing w:before="80" w:after="80"/>
        <w:jc w:val="both"/>
        <w:rPr>
          <w:bCs/>
          <w:sz w:val="28"/>
          <w:szCs w:val="28"/>
        </w:rPr>
      </w:pPr>
      <w:r>
        <w:rPr>
          <w:bCs/>
          <w:sz w:val="28"/>
          <w:szCs w:val="28"/>
        </w:rPr>
        <w:t xml:space="preserve">    b) Các Sở, Ban, ngành xét duyệt quyết toán của các Chủ đầu tư, Ban quản lý dự án thuộc trách nhiệm quản lý, tổng hợp, lập báo cáo quyết toán năm theo biểu số </w:t>
      </w:r>
    </w:p>
    <w:p w:rsidR="00CF243F" w:rsidRDefault="00CF243F" w:rsidP="00CF243F">
      <w:pPr>
        <w:spacing w:before="80" w:after="80"/>
        <w:jc w:val="both"/>
        <w:rPr>
          <w:bCs/>
          <w:sz w:val="28"/>
          <w:szCs w:val="28"/>
        </w:rPr>
      </w:pPr>
      <w:r>
        <w:rPr>
          <w:bCs/>
          <w:sz w:val="28"/>
          <w:szCs w:val="28"/>
        </w:rPr>
        <w:t xml:space="preserve">số 01/CQTH, 02/CQTH, 03/CQTH, 04/CQTH, 05-CQTH,  theo quy định tại Thông tư số 85/2017/TT-BTC ngày 15 tháng 8 năm 2017 của Bộ Tài chính gửi </w:t>
      </w:r>
      <w:r w:rsidR="00790053">
        <w:rPr>
          <w:bCs/>
          <w:sz w:val="28"/>
          <w:szCs w:val="28"/>
        </w:rPr>
        <w:t>Sở Tài chính chậm nhất đến hết ngày 29 tháng 4 năm sau.</w:t>
      </w:r>
    </w:p>
    <w:p w:rsidR="00790053" w:rsidRDefault="00790053" w:rsidP="00CF243F">
      <w:pPr>
        <w:spacing w:before="80" w:after="80"/>
        <w:jc w:val="both"/>
        <w:rPr>
          <w:bCs/>
          <w:sz w:val="28"/>
          <w:szCs w:val="28"/>
        </w:rPr>
      </w:pPr>
    </w:p>
    <w:p w:rsidR="00790053" w:rsidRDefault="00790053" w:rsidP="00CF243F">
      <w:pPr>
        <w:spacing w:before="80" w:after="80"/>
        <w:jc w:val="both"/>
        <w:rPr>
          <w:bCs/>
          <w:sz w:val="28"/>
          <w:szCs w:val="28"/>
        </w:rPr>
      </w:pPr>
      <w:r>
        <w:rPr>
          <w:bCs/>
          <w:sz w:val="28"/>
          <w:szCs w:val="28"/>
        </w:rPr>
        <w:t xml:space="preserve">    3. Xử lý vi phạm thời hạn gửi báo cáo quyết toán</w:t>
      </w:r>
    </w:p>
    <w:p w:rsidR="00790053" w:rsidRDefault="00790053" w:rsidP="00CF243F">
      <w:pPr>
        <w:spacing w:before="80" w:after="80"/>
        <w:jc w:val="both"/>
        <w:rPr>
          <w:sz w:val="28"/>
          <w:szCs w:val="28"/>
        </w:rPr>
      </w:pPr>
      <w:r>
        <w:rPr>
          <w:bCs/>
          <w:sz w:val="28"/>
          <w:szCs w:val="28"/>
        </w:rPr>
        <w:t xml:space="preserve">     C</w:t>
      </w:r>
      <w:r>
        <w:rPr>
          <w:sz w:val="28"/>
          <w:szCs w:val="28"/>
        </w:rPr>
        <w:t>ác đơn vị dự toán cấp I, Chủ đầu tư ( hoặc Ban Quản lý dự án ) gửi báo cáo quyết toán năm về cơ quan Tài chính chậm so với thời hạn quy định thì cơ quan Tài chính phối hợp với Kho bạc nhà nước tạm dừng cấp kinh phí của Văn phòng đơn vị dự toán cấp I, Chủ đầu tư tư (hoặc Ban Quản lý dự án) tại Kho bạc nhà nước nơi giao dịch, trừ các khoản lương, phụ cấp lương, trợ cấp, học bổng và một số khoản chi cấp thiết để đảm bảo hoạt động của đơn vị, không bao gồm các khoản chi mua sắm, sữa chửa trang thiết bị, cho đến khi nhận được báo cáo quyết toán.</w:t>
      </w:r>
    </w:p>
    <w:p w:rsidR="00790053" w:rsidRDefault="00790053" w:rsidP="00790053">
      <w:pPr>
        <w:spacing w:before="80" w:after="80"/>
        <w:jc w:val="both"/>
        <w:rPr>
          <w:bCs/>
          <w:sz w:val="28"/>
          <w:szCs w:val="28"/>
        </w:rPr>
      </w:pPr>
      <w:r>
        <w:rPr>
          <w:bCs/>
          <w:sz w:val="28"/>
          <w:szCs w:val="28"/>
        </w:rPr>
        <w:t xml:space="preserve">  </w:t>
      </w:r>
    </w:p>
    <w:p w:rsidR="00790053" w:rsidRDefault="00790053" w:rsidP="00790053">
      <w:pPr>
        <w:spacing w:before="80" w:after="80"/>
        <w:jc w:val="both"/>
        <w:rPr>
          <w:b/>
          <w:bCs/>
          <w:sz w:val="28"/>
          <w:szCs w:val="28"/>
        </w:rPr>
      </w:pPr>
      <w:r>
        <w:rPr>
          <w:bCs/>
          <w:sz w:val="28"/>
          <w:szCs w:val="28"/>
        </w:rPr>
        <w:lastRenderedPageBreak/>
        <w:t xml:space="preserve">    </w:t>
      </w:r>
      <w:r w:rsidRPr="00203A36">
        <w:rPr>
          <w:b/>
          <w:bCs/>
          <w:sz w:val="28"/>
          <w:szCs w:val="28"/>
        </w:rPr>
        <w:t>Điều</w:t>
      </w:r>
      <w:r>
        <w:rPr>
          <w:b/>
          <w:bCs/>
          <w:sz w:val="28"/>
          <w:szCs w:val="28"/>
        </w:rPr>
        <w:t xml:space="preserve"> 4</w:t>
      </w:r>
      <w:r w:rsidRPr="00203A36">
        <w:rPr>
          <w:b/>
          <w:bCs/>
          <w:sz w:val="28"/>
          <w:szCs w:val="28"/>
        </w:rPr>
        <w:t>.</w:t>
      </w:r>
      <w:r>
        <w:rPr>
          <w:b/>
          <w:bCs/>
          <w:sz w:val="28"/>
          <w:szCs w:val="28"/>
        </w:rPr>
        <w:t xml:space="preserve">  Thời gian thẩm định quyết toán ngân sách của cơ quan tài chính các cấp </w:t>
      </w:r>
    </w:p>
    <w:p w:rsidR="00790053" w:rsidRPr="00790053" w:rsidRDefault="00790053" w:rsidP="00790053">
      <w:pPr>
        <w:spacing w:before="80" w:after="80"/>
        <w:jc w:val="both"/>
        <w:rPr>
          <w:bCs/>
          <w:sz w:val="28"/>
          <w:szCs w:val="28"/>
        </w:rPr>
      </w:pPr>
      <w:r>
        <w:rPr>
          <w:b/>
          <w:bCs/>
          <w:sz w:val="28"/>
          <w:szCs w:val="28"/>
        </w:rPr>
        <w:t xml:space="preserve">     </w:t>
      </w:r>
      <w:r w:rsidRPr="00790053">
        <w:rPr>
          <w:bCs/>
          <w:sz w:val="28"/>
          <w:szCs w:val="28"/>
        </w:rPr>
        <w:t>Cơ quan tài chính cấp thành phố và quận, huyện trong thời gian tối đa 30 ngày</w:t>
      </w:r>
      <w:r>
        <w:rPr>
          <w:bCs/>
          <w:sz w:val="28"/>
          <w:szCs w:val="28"/>
        </w:rPr>
        <w:t xml:space="preserve">, kể từ ngày nhận được </w:t>
      </w:r>
      <w:r w:rsidR="00EF71BA">
        <w:rPr>
          <w:bCs/>
          <w:sz w:val="28"/>
          <w:szCs w:val="28"/>
        </w:rPr>
        <w:t xml:space="preserve">báo cáo quyết toán ngân sách của đơn vị </w:t>
      </w:r>
      <w:r w:rsidR="00EF71BA">
        <w:rPr>
          <w:sz w:val="28"/>
          <w:szCs w:val="28"/>
        </w:rPr>
        <w:t xml:space="preserve">dự toán cấp I thuộc ngân sách thành phố và quận, huyện, có trách nhiệm xét duyệt, thẩm định và thông báo quyết toán ngân sách </w:t>
      </w:r>
      <w:r w:rsidR="00EF71BA">
        <w:rPr>
          <w:bCs/>
          <w:sz w:val="28"/>
          <w:szCs w:val="28"/>
        </w:rPr>
        <w:t xml:space="preserve">của đơn vị </w:t>
      </w:r>
      <w:r w:rsidR="00EF71BA">
        <w:rPr>
          <w:sz w:val="28"/>
          <w:szCs w:val="28"/>
        </w:rPr>
        <w:t>dự toán cấp I thuộc ngân sách cấp mình.</w:t>
      </w:r>
    </w:p>
    <w:p w:rsidR="00790053" w:rsidRDefault="00790053" w:rsidP="00CF243F">
      <w:pPr>
        <w:spacing w:before="80" w:after="80"/>
        <w:jc w:val="both"/>
        <w:rPr>
          <w:bCs/>
          <w:sz w:val="28"/>
          <w:szCs w:val="28"/>
        </w:rPr>
      </w:pPr>
    </w:p>
    <w:p w:rsidR="00EF71BA" w:rsidRDefault="00EF71BA" w:rsidP="00EF71BA">
      <w:pPr>
        <w:spacing w:before="80" w:after="80"/>
        <w:jc w:val="both"/>
        <w:rPr>
          <w:b/>
          <w:bCs/>
          <w:sz w:val="28"/>
          <w:szCs w:val="28"/>
        </w:rPr>
      </w:pPr>
      <w:r>
        <w:rPr>
          <w:bCs/>
          <w:sz w:val="28"/>
          <w:szCs w:val="28"/>
        </w:rPr>
        <w:t xml:space="preserve">     </w:t>
      </w:r>
      <w:r w:rsidRPr="00203A36">
        <w:rPr>
          <w:b/>
          <w:bCs/>
          <w:sz w:val="28"/>
          <w:szCs w:val="28"/>
        </w:rPr>
        <w:t>Điều</w:t>
      </w:r>
      <w:r>
        <w:rPr>
          <w:b/>
          <w:bCs/>
          <w:sz w:val="28"/>
          <w:szCs w:val="28"/>
        </w:rPr>
        <w:t xml:space="preserve"> 5</w:t>
      </w:r>
      <w:r w:rsidRPr="00203A36">
        <w:rPr>
          <w:b/>
          <w:bCs/>
          <w:sz w:val="28"/>
          <w:szCs w:val="28"/>
        </w:rPr>
        <w:t>.</w:t>
      </w:r>
      <w:r>
        <w:rPr>
          <w:b/>
          <w:bCs/>
          <w:sz w:val="28"/>
          <w:szCs w:val="28"/>
        </w:rPr>
        <w:t xml:space="preserve">  Hiệu lực thi hành</w:t>
      </w:r>
    </w:p>
    <w:p w:rsidR="00EF71BA" w:rsidRDefault="00EF71BA" w:rsidP="00EF71BA">
      <w:pPr>
        <w:spacing w:before="80" w:after="80"/>
        <w:jc w:val="both"/>
        <w:rPr>
          <w:sz w:val="28"/>
          <w:szCs w:val="28"/>
        </w:rPr>
      </w:pPr>
      <w:r>
        <w:rPr>
          <w:sz w:val="28"/>
          <w:szCs w:val="28"/>
        </w:rPr>
        <w:t xml:space="preserve">        1.</w:t>
      </w:r>
      <w:r w:rsidRPr="00203A36">
        <w:rPr>
          <w:sz w:val="28"/>
          <w:szCs w:val="28"/>
        </w:rPr>
        <w:t xml:space="preserve">Quyết định này có hiệu lực </w:t>
      </w:r>
      <w:r>
        <w:rPr>
          <w:sz w:val="28"/>
          <w:szCs w:val="28"/>
        </w:rPr>
        <w:t>k</w:t>
      </w:r>
      <w:r w:rsidRPr="000E4E74">
        <w:rPr>
          <w:sz w:val="28"/>
          <w:szCs w:val="28"/>
        </w:rPr>
        <w:t>ể</w:t>
      </w:r>
      <w:r>
        <w:rPr>
          <w:sz w:val="28"/>
          <w:szCs w:val="28"/>
        </w:rPr>
        <w:t xml:space="preserve"> t</w:t>
      </w:r>
      <w:r w:rsidRPr="000E4E74">
        <w:rPr>
          <w:sz w:val="28"/>
          <w:szCs w:val="28"/>
        </w:rPr>
        <w:t>ừ</w:t>
      </w:r>
      <w:r w:rsidRPr="00203A36">
        <w:rPr>
          <w:sz w:val="28"/>
          <w:szCs w:val="28"/>
        </w:rPr>
        <w:t xml:space="preserve"> ngày</w:t>
      </w:r>
      <w:r>
        <w:rPr>
          <w:sz w:val="28"/>
          <w:szCs w:val="28"/>
        </w:rPr>
        <w:t xml:space="preserve"> 30 th</w:t>
      </w:r>
      <w:r w:rsidRPr="000E4E74">
        <w:rPr>
          <w:sz w:val="28"/>
          <w:szCs w:val="28"/>
        </w:rPr>
        <w:t>áng</w:t>
      </w:r>
      <w:r>
        <w:rPr>
          <w:sz w:val="28"/>
          <w:szCs w:val="28"/>
        </w:rPr>
        <w:t xml:space="preserve"> 5 n</w:t>
      </w:r>
      <w:r w:rsidRPr="000E4E74">
        <w:rPr>
          <w:sz w:val="28"/>
          <w:szCs w:val="28"/>
        </w:rPr>
        <w:t>ă</w:t>
      </w:r>
      <w:r>
        <w:rPr>
          <w:sz w:val="28"/>
          <w:szCs w:val="28"/>
        </w:rPr>
        <w:t>m 2018</w:t>
      </w:r>
      <w:r w:rsidRPr="00203A36">
        <w:rPr>
          <w:sz w:val="28"/>
          <w:szCs w:val="28"/>
        </w:rPr>
        <w:t xml:space="preserve"> và</w:t>
      </w:r>
      <w:r>
        <w:rPr>
          <w:sz w:val="28"/>
          <w:szCs w:val="28"/>
        </w:rPr>
        <w:t xml:space="preserve"> áp dụng đối với quyết toán ngân sách nhà nước từ năm 2017</w:t>
      </w:r>
    </w:p>
    <w:p w:rsidR="00EF71BA" w:rsidRDefault="00EF71BA" w:rsidP="00EF71BA">
      <w:pPr>
        <w:spacing w:before="80" w:after="80"/>
        <w:jc w:val="both"/>
        <w:rPr>
          <w:sz w:val="28"/>
          <w:szCs w:val="28"/>
        </w:rPr>
      </w:pPr>
      <w:r>
        <w:rPr>
          <w:sz w:val="28"/>
          <w:szCs w:val="28"/>
        </w:rPr>
        <w:t xml:space="preserve">     </w:t>
      </w:r>
      <w:r w:rsidRPr="00203A36">
        <w:rPr>
          <w:sz w:val="28"/>
          <w:szCs w:val="28"/>
        </w:rPr>
        <w:t xml:space="preserve"> </w:t>
      </w:r>
      <w:r>
        <w:rPr>
          <w:sz w:val="28"/>
          <w:szCs w:val="28"/>
        </w:rPr>
        <w:t xml:space="preserve">  2. Quyết định số 4391/QĐ-UBND ngày 05 tháng 6 năm 2012 của UBND thành phố về việc quy định thời hạn xử lý ngân sách cuối năm và lập báo cáo quyết toán ngân sách nhà nước hằng năm hết hiệu lực thi hành kể từ ngày Quyết định này có hiệu lực thi hành.</w:t>
      </w:r>
    </w:p>
    <w:p w:rsidR="00C5535E" w:rsidRPr="00203A36" w:rsidRDefault="00EF71BA" w:rsidP="00EF71BA">
      <w:pPr>
        <w:spacing w:before="80" w:after="80"/>
        <w:jc w:val="both"/>
        <w:rPr>
          <w:sz w:val="28"/>
        </w:rPr>
      </w:pPr>
      <w:r>
        <w:rPr>
          <w:bCs/>
          <w:sz w:val="28"/>
          <w:szCs w:val="28"/>
        </w:rPr>
        <w:t xml:space="preserve">       </w:t>
      </w:r>
      <w:r w:rsidRPr="00203A36">
        <w:rPr>
          <w:b/>
          <w:bCs/>
          <w:sz w:val="28"/>
          <w:szCs w:val="28"/>
        </w:rPr>
        <w:t>Điều</w:t>
      </w:r>
      <w:r>
        <w:rPr>
          <w:b/>
          <w:bCs/>
          <w:sz w:val="28"/>
          <w:szCs w:val="28"/>
        </w:rPr>
        <w:t xml:space="preserve"> 6.   </w:t>
      </w:r>
      <w:r w:rsidR="00DA0074" w:rsidRPr="00203A36">
        <w:rPr>
          <w:sz w:val="28"/>
        </w:rPr>
        <w:t xml:space="preserve">Chánh Văn phòng UBND thành phố; Giám đốc </w:t>
      </w:r>
      <w:r>
        <w:rPr>
          <w:sz w:val="28"/>
        </w:rPr>
        <w:t xml:space="preserve">Sở </w:t>
      </w:r>
      <w:r w:rsidR="00DA0074" w:rsidRPr="00203A36">
        <w:rPr>
          <w:sz w:val="28"/>
        </w:rPr>
        <w:t xml:space="preserve">Tài </w:t>
      </w:r>
      <w:r>
        <w:rPr>
          <w:sz w:val="28"/>
        </w:rPr>
        <w:t>chính, Giám đốc Kho bạc Nhà nước Đà Nẵng, Thủ trưởng các Sở, Ban, ngành, hội đoàn thể</w:t>
      </w:r>
      <w:r>
        <w:rPr>
          <w:sz w:val="28"/>
          <w:szCs w:val="28"/>
        </w:rPr>
        <w:t>,</w:t>
      </w:r>
      <w:r w:rsidR="00DA0074" w:rsidRPr="00203A36">
        <w:rPr>
          <w:sz w:val="28"/>
        </w:rPr>
        <w:t xml:space="preserve"> Chủ tịch </w:t>
      </w:r>
      <w:r w:rsidR="005B00A5">
        <w:rPr>
          <w:sz w:val="28"/>
        </w:rPr>
        <w:t>UBND</w:t>
      </w:r>
      <w:r w:rsidR="00DA0074" w:rsidRPr="00203A36">
        <w:rPr>
          <w:sz w:val="28"/>
        </w:rPr>
        <w:t xml:space="preserve"> các quận, huyện</w:t>
      </w:r>
      <w:r>
        <w:rPr>
          <w:sz w:val="28"/>
        </w:rPr>
        <w:t xml:space="preserve">, phường, xã  và </w:t>
      </w:r>
      <w:r w:rsidR="00DA0074" w:rsidRPr="00203A36">
        <w:rPr>
          <w:sz w:val="28"/>
        </w:rPr>
        <w:t xml:space="preserve"> các cơ quan liên quan chịu trách nhiệm thi hành Quyết định này./.</w:t>
      </w:r>
    </w:p>
    <w:p w:rsidR="00C5535E" w:rsidRPr="00203A36" w:rsidRDefault="00C5535E" w:rsidP="001D3091">
      <w:pPr>
        <w:ind w:firstLine="567"/>
        <w:jc w:val="both"/>
        <w:rPr>
          <w:sz w:val="12"/>
          <w:szCs w:val="28"/>
        </w:rPr>
      </w:pPr>
    </w:p>
    <w:tbl>
      <w:tblPr>
        <w:tblW w:w="5000" w:type="pct"/>
        <w:tblLook w:val="01E0" w:firstRow="1" w:lastRow="1" w:firstColumn="1" w:lastColumn="1" w:noHBand="0" w:noVBand="0"/>
      </w:tblPr>
      <w:tblGrid>
        <w:gridCol w:w="9639"/>
      </w:tblGrid>
      <w:tr w:rsidR="00162D8E" w:rsidRPr="00203A36">
        <w:trPr>
          <w:trHeight w:val="1636"/>
        </w:trPr>
        <w:tc>
          <w:tcPr>
            <w:tcW w:w="5000" w:type="pct"/>
          </w:tcPr>
          <w:p w:rsidR="00EF71BA" w:rsidRDefault="00162D8E" w:rsidP="00162D8E">
            <w:pPr>
              <w:jc w:val="right"/>
              <w:rPr>
                <w:b/>
                <w:bCs/>
                <w:sz w:val="28"/>
                <w:szCs w:val="28"/>
              </w:rPr>
            </w:pPr>
            <w:r>
              <w:rPr>
                <w:b/>
                <w:bCs/>
                <w:sz w:val="28"/>
                <w:szCs w:val="28"/>
              </w:rPr>
              <w:t xml:space="preserve">                                                                        </w:t>
            </w:r>
          </w:p>
          <w:p w:rsidR="00162D8E" w:rsidRPr="00203A36" w:rsidRDefault="00EF71BA" w:rsidP="00EF71BA">
            <w:pPr>
              <w:jc w:val="center"/>
              <w:rPr>
                <w:b/>
                <w:bCs/>
                <w:sz w:val="28"/>
                <w:szCs w:val="28"/>
              </w:rPr>
            </w:pPr>
            <w:r>
              <w:rPr>
                <w:b/>
                <w:bCs/>
                <w:sz w:val="28"/>
                <w:szCs w:val="28"/>
              </w:rPr>
              <w:t xml:space="preserve">                                                     </w:t>
            </w:r>
            <w:r w:rsidR="00162D8E" w:rsidRPr="00203A36">
              <w:rPr>
                <w:b/>
                <w:bCs/>
                <w:sz w:val="28"/>
                <w:szCs w:val="28"/>
              </w:rPr>
              <w:t>TM. ỦY BAN NHÂN DÂN</w:t>
            </w:r>
          </w:p>
          <w:p w:rsidR="00162D8E" w:rsidRPr="00203A36" w:rsidRDefault="00162D8E" w:rsidP="00162D8E">
            <w:pPr>
              <w:jc w:val="center"/>
              <w:rPr>
                <w:b/>
                <w:bCs/>
                <w:sz w:val="28"/>
                <w:szCs w:val="28"/>
              </w:rPr>
            </w:pPr>
            <w:r>
              <w:rPr>
                <w:b/>
                <w:bCs/>
                <w:sz w:val="28"/>
                <w:szCs w:val="28"/>
              </w:rPr>
              <w:t xml:space="preserve">                                       </w:t>
            </w:r>
            <w:r w:rsidR="00EF71BA">
              <w:rPr>
                <w:b/>
                <w:bCs/>
                <w:sz w:val="28"/>
                <w:szCs w:val="28"/>
              </w:rPr>
              <w:t xml:space="preserve">                  KT.</w:t>
            </w:r>
            <w:r>
              <w:rPr>
                <w:b/>
                <w:bCs/>
                <w:sz w:val="28"/>
                <w:szCs w:val="28"/>
              </w:rPr>
              <w:t xml:space="preserve"> </w:t>
            </w:r>
            <w:r w:rsidRPr="00203A36">
              <w:rPr>
                <w:b/>
                <w:bCs/>
                <w:sz w:val="28"/>
                <w:szCs w:val="28"/>
              </w:rPr>
              <w:t>CHỦ TỊCH</w:t>
            </w:r>
          </w:p>
          <w:p w:rsidR="00EF71BA" w:rsidRDefault="00162D8E" w:rsidP="00EF71BA">
            <w:pPr>
              <w:rPr>
                <w:b/>
                <w:sz w:val="28"/>
                <w:szCs w:val="28"/>
              </w:rPr>
            </w:pPr>
            <w:r w:rsidRPr="00162D8E">
              <w:rPr>
                <w:b/>
                <w:sz w:val="28"/>
                <w:szCs w:val="28"/>
              </w:rPr>
              <w:t xml:space="preserve">                                                        </w:t>
            </w:r>
            <w:r w:rsidR="00EF71BA">
              <w:rPr>
                <w:b/>
                <w:sz w:val="28"/>
                <w:szCs w:val="28"/>
              </w:rPr>
              <w:t xml:space="preserve">                          PHÓ CHỦ TỊCH</w:t>
            </w:r>
            <w:r w:rsidRPr="00162D8E">
              <w:rPr>
                <w:b/>
                <w:sz w:val="28"/>
                <w:szCs w:val="28"/>
              </w:rPr>
              <w:t xml:space="preserve">  </w:t>
            </w:r>
          </w:p>
          <w:p w:rsidR="00EF71BA" w:rsidRDefault="00EF71BA" w:rsidP="00EF71BA">
            <w:pPr>
              <w:rPr>
                <w:b/>
                <w:sz w:val="28"/>
                <w:szCs w:val="28"/>
              </w:rPr>
            </w:pPr>
            <w:r>
              <w:rPr>
                <w:b/>
                <w:sz w:val="28"/>
                <w:szCs w:val="28"/>
              </w:rPr>
              <w:t xml:space="preserve">                                                                                    Trần Văn Miên</w:t>
            </w:r>
          </w:p>
          <w:p w:rsidR="00EF71BA" w:rsidRDefault="00EF71BA" w:rsidP="00EF71BA">
            <w:pPr>
              <w:rPr>
                <w:b/>
                <w:sz w:val="28"/>
                <w:szCs w:val="28"/>
              </w:rPr>
            </w:pPr>
            <w:r>
              <w:rPr>
                <w:b/>
                <w:sz w:val="28"/>
                <w:szCs w:val="28"/>
              </w:rPr>
              <w:t xml:space="preserve">                              </w:t>
            </w:r>
          </w:p>
          <w:p w:rsidR="00162D8E" w:rsidRPr="00162D8E" w:rsidRDefault="00162D8E" w:rsidP="00EF71BA">
            <w:pPr>
              <w:rPr>
                <w:b/>
                <w:sz w:val="28"/>
                <w:szCs w:val="28"/>
              </w:rPr>
            </w:pPr>
          </w:p>
        </w:tc>
      </w:tr>
    </w:tbl>
    <w:p w:rsidR="009F5A3A" w:rsidRDefault="009F5A3A" w:rsidP="001A75DD">
      <w:pPr>
        <w:shd w:val="solid" w:color="FFFFFF" w:fill="auto"/>
        <w:spacing w:after="120"/>
        <w:rPr>
          <w:lang w:val="es-PR"/>
        </w:rPr>
      </w:pPr>
    </w:p>
    <w:sectPr w:rsidR="009F5A3A" w:rsidSect="00162D8E">
      <w:headerReference w:type="default" r:id="rId7"/>
      <w:footerReference w:type="default" r:id="rId8"/>
      <w:pgSz w:w="11907" w:h="16840" w:code="9"/>
      <w:pgMar w:top="147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C2" w:rsidRDefault="00EA05C2" w:rsidP="00AB3822">
      <w:r>
        <w:separator/>
      </w:r>
    </w:p>
  </w:endnote>
  <w:endnote w:type="continuationSeparator" w:id="0">
    <w:p w:rsidR="00EA05C2" w:rsidRDefault="00EA05C2" w:rsidP="00AB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85" w:rsidRDefault="007D4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C2" w:rsidRDefault="00EA05C2" w:rsidP="00AB3822">
      <w:r>
        <w:separator/>
      </w:r>
    </w:p>
  </w:footnote>
  <w:footnote w:type="continuationSeparator" w:id="0">
    <w:p w:rsidR="00EA05C2" w:rsidRDefault="00EA05C2" w:rsidP="00AB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85" w:rsidRDefault="007D4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2DE"/>
    <w:multiLevelType w:val="hybridMultilevel"/>
    <w:tmpl w:val="7A2A1D62"/>
    <w:lvl w:ilvl="0" w:tplc="E05E0AD2">
      <w:start w:val="1"/>
      <w:numFmt w:val="decimal"/>
      <w:lvlText w:val="%1."/>
      <w:lvlJc w:val="left"/>
      <w:pPr>
        <w:ind w:left="1467" w:hanging="84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15:restartNumberingAfterBreak="0">
    <w:nsid w:val="1A3E6A88"/>
    <w:multiLevelType w:val="hybridMultilevel"/>
    <w:tmpl w:val="5A1A162C"/>
    <w:lvl w:ilvl="0" w:tplc="16BEC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D171357"/>
    <w:multiLevelType w:val="hybridMultilevel"/>
    <w:tmpl w:val="618A6B72"/>
    <w:lvl w:ilvl="0" w:tplc="DC1A6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17AEE"/>
    <w:multiLevelType w:val="hybridMultilevel"/>
    <w:tmpl w:val="9C8ACF2A"/>
    <w:lvl w:ilvl="0" w:tplc="BDFA975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53047BDE"/>
    <w:multiLevelType w:val="hybridMultilevel"/>
    <w:tmpl w:val="9A8C859C"/>
    <w:lvl w:ilvl="0" w:tplc="A4804F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FA63C76"/>
    <w:multiLevelType w:val="hybridMultilevel"/>
    <w:tmpl w:val="722EAD80"/>
    <w:lvl w:ilvl="0" w:tplc="F50C7D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AC94890"/>
    <w:multiLevelType w:val="hybridMultilevel"/>
    <w:tmpl w:val="1DF8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C0E7F"/>
    <w:multiLevelType w:val="hybridMultilevel"/>
    <w:tmpl w:val="E17C0A1E"/>
    <w:lvl w:ilvl="0" w:tplc="9F2607D6">
      <w:start w:val="1"/>
      <w:numFmt w:val="decimal"/>
      <w:lvlText w:val="%1."/>
      <w:lvlJc w:val="left"/>
      <w:pPr>
        <w:ind w:left="987" w:hanging="360"/>
      </w:pPr>
      <w:rPr>
        <w:rFonts w:hint="default"/>
        <w:b/>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4"/>
  </w:num>
  <w:num w:numId="2">
    <w:abstractNumId w:val="1"/>
  </w:num>
  <w:num w:numId="3">
    <w:abstractNumId w:val="6"/>
  </w:num>
  <w:num w:numId="4">
    <w:abstractNumId w:val="2"/>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5E"/>
    <w:rsid w:val="00000493"/>
    <w:rsid w:val="000037C4"/>
    <w:rsid w:val="00010281"/>
    <w:rsid w:val="0001071D"/>
    <w:rsid w:val="00014790"/>
    <w:rsid w:val="0001481D"/>
    <w:rsid w:val="00015552"/>
    <w:rsid w:val="000212FB"/>
    <w:rsid w:val="00023D0A"/>
    <w:rsid w:val="00033043"/>
    <w:rsid w:val="00033C7E"/>
    <w:rsid w:val="000351C1"/>
    <w:rsid w:val="00037061"/>
    <w:rsid w:val="00054570"/>
    <w:rsid w:val="00054602"/>
    <w:rsid w:val="000618CA"/>
    <w:rsid w:val="00062607"/>
    <w:rsid w:val="00065E4A"/>
    <w:rsid w:val="000667FF"/>
    <w:rsid w:val="000838BE"/>
    <w:rsid w:val="0008754F"/>
    <w:rsid w:val="000878F5"/>
    <w:rsid w:val="00095AFB"/>
    <w:rsid w:val="000B207E"/>
    <w:rsid w:val="000B3B65"/>
    <w:rsid w:val="000B53E8"/>
    <w:rsid w:val="000C101B"/>
    <w:rsid w:val="000C2086"/>
    <w:rsid w:val="000C48F8"/>
    <w:rsid w:val="000D106C"/>
    <w:rsid w:val="000D179B"/>
    <w:rsid w:val="000D209C"/>
    <w:rsid w:val="000D3242"/>
    <w:rsid w:val="000D6FCD"/>
    <w:rsid w:val="000E4E74"/>
    <w:rsid w:val="0010468C"/>
    <w:rsid w:val="00110BC3"/>
    <w:rsid w:val="00123E2B"/>
    <w:rsid w:val="00123F52"/>
    <w:rsid w:val="0012558A"/>
    <w:rsid w:val="00135D84"/>
    <w:rsid w:val="001449F5"/>
    <w:rsid w:val="001455A3"/>
    <w:rsid w:val="00151763"/>
    <w:rsid w:val="001519B1"/>
    <w:rsid w:val="00152FD3"/>
    <w:rsid w:val="00153816"/>
    <w:rsid w:val="001548CB"/>
    <w:rsid w:val="00162D8E"/>
    <w:rsid w:val="0016419A"/>
    <w:rsid w:val="001701BA"/>
    <w:rsid w:val="00171819"/>
    <w:rsid w:val="001719A9"/>
    <w:rsid w:val="00174873"/>
    <w:rsid w:val="00175A00"/>
    <w:rsid w:val="00175AD1"/>
    <w:rsid w:val="00176749"/>
    <w:rsid w:val="00177F91"/>
    <w:rsid w:val="00182ACC"/>
    <w:rsid w:val="00184B34"/>
    <w:rsid w:val="00186856"/>
    <w:rsid w:val="001928E4"/>
    <w:rsid w:val="001940B0"/>
    <w:rsid w:val="001A1A00"/>
    <w:rsid w:val="001A75DD"/>
    <w:rsid w:val="001B04B4"/>
    <w:rsid w:val="001B2E40"/>
    <w:rsid w:val="001B5777"/>
    <w:rsid w:val="001C65CD"/>
    <w:rsid w:val="001D2A60"/>
    <w:rsid w:val="001D3091"/>
    <w:rsid w:val="001E64DA"/>
    <w:rsid w:val="001F6A8C"/>
    <w:rsid w:val="00200BE1"/>
    <w:rsid w:val="00203A36"/>
    <w:rsid w:val="00206898"/>
    <w:rsid w:val="00210690"/>
    <w:rsid w:val="00210CE0"/>
    <w:rsid w:val="002112FD"/>
    <w:rsid w:val="0021271C"/>
    <w:rsid w:val="0021342D"/>
    <w:rsid w:val="00215AA4"/>
    <w:rsid w:val="00221188"/>
    <w:rsid w:val="002322C4"/>
    <w:rsid w:val="00234E7C"/>
    <w:rsid w:val="002364B5"/>
    <w:rsid w:val="00242D18"/>
    <w:rsid w:val="00243D5F"/>
    <w:rsid w:val="00251AE8"/>
    <w:rsid w:val="00252243"/>
    <w:rsid w:val="00254613"/>
    <w:rsid w:val="0026144C"/>
    <w:rsid w:val="00270C31"/>
    <w:rsid w:val="002809B2"/>
    <w:rsid w:val="00283FF8"/>
    <w:rsid w:val="002958E0"/>
    <w:rsid w:val="00295BB3"/>
    <w:rsid w:val="002A0B2E"/>
    <w:rsid w:val="002A491D"/>
    <w:rsid w:val="002E1C10"/>
    <w:rsid w:val="002E2B30"/>
    <w:rsid w:val="002E2B39"/>
    <w:rsid w:val="002F1B54"/>
    <w:rsid w:val="002F7E9C"/>
    <w:rsid w:val="00301B4E"/>
    <w:rsid w:val="00303A53"/>
    <w:rsid w:val="003207BA"/>
    <w:rsid w:val="00320845"/>
    <w:rsid w:val="00321121"/>
    <w:rsid w:val="00321DBE"/>
    <w:rsid w:val="003230D5"/>
    <w:rsid w:val="0033115F"/>
    <w:rsid w:val="00337648"/>
    <w:rsid w:val="003452ED"/>
    <w:rsid w:val="0035283A"/>
    <w:rsid w:val="00366DB7"/>
    <w:rsid w:val="00373588"/>
    <w:rsid w:val="0038296C"/>
    <w:rsid w:val="00383D3E"/>
    <w:rsid w:val="00385F54"/>
    <w:rsid w:val="00386527"/>
    <w:rsid w:val="003A6CE4"/>
    <w:rsid w:val="003B0DD6"/>
    <w:rsid w:val="003B6BB9"/>
    <w:rsid w:val="003C260A"/>
    <w:rsid w:val="003C5E29"/>
    <w:rsid w:val="003C7433"/>
    <w:rsid w:val="003C7AF8"/>
    <w:rsid w:val="003D06A0"/>
    <w:rsid w:val="003E2C57"/>
    <w:rsid w:val="003E4176"/>
    <w:rsid w:val="003E574F"/>
    <w:rsid w:val="003E5947"/>
    <w:rsid w:val="003F0BB5"/>
    <w:rsid w:val="00401D05"/>
    <w:rsid w:val="004218B9"/>
    <w:rsid w:val="00424684"/>
    <w:rsid w:val="00443FC1"/>
    <w:rsid w:val="00444549"/>
    <w:rsid w:val="00452365"/>
    <w:rsid w:val="004552AC"/>
    <w:rsid w:val="00460412"/>
    <w:rsid w:val="00466168"/>
    <w:rsid w:val="00466878"/>
    <w:rsid w:val="00470E83"/>
    <w:rsid w:val="004858F4"/>
    <w:rsid w:val="00487596"/>
    <w:rsid w:val="00487E3F"/>
    <w:rsid w:val="004951E2"/>
    <w:rsid w:val="004A1179"/>
    <w:rsid w:val="004B27FC"/>
    <w:rsid w:val="004C1BB8"/>
    <w:rsid w:val="004C629F"/>
    <w:rsid w:val="004D014C"/>
    <w:rsid w:val="004D1B45"/>
    <w:rsid w:val="004D7413"/>
    <w:rsid w:val="004D7BEA"/>
    <w:rsid w:val="004E0610"/>
    <w:rsid w:val="004E0E5D"/>
    <w:rsid w:val="004F17F1"/>
    <w:rsid w:val="004F280A"/>
    <w:rsid w:val="004F3B44"/>
    <w:rsid w:val="004F5A1A"/>
    <w:rsid w:val="00501B5C"/>
    <w:rsid w:val="005026B2"/>
    <w:rsid w:val="005042D6"/>
    <w:rsid w:val="00504DAB"/>
    <w:rsid w:val="005127F7"/>
    <w:rsid w:val="00517E75"/>
    <w:rsid w:val="00521B33"/>
    <w:rsid w:val="00526C6B"/>
    <w:rsid w:val="005359E1"/>
    <w:rsid w:val="005465E3"/>
    <w:rsid w:val="00555CAD"/>
    <w:rsid w:val="005567E6"/>
    <w:rsid w:val="0057282E"/>
    <w:rsid w:val="0057774B"/>
    <w:rsid w:val="00577CBA"/>
    <w:rsid w:val="005822D5"/>
    <w:rsid w:val="00584BA5"/>
    <w:rsid w:val="00590459"/>
    <w:rsid w:val="00593E93"/>
    <w:rsid w:val="00595B22"/>
    <w:rsid w:val="005A352C"/>
    <w:rsid w:val="005A3EAA"/>
    <w:rsid w:val="005B00A5"/>
    <w:rsid w:val="005B12D8"/>
    <w:rsid w:val="005C5593"/>
    <w:rsid w:val="005C621B"/>
    <w:rsid w:val="005D1CC8"/>
    <w:rsid w:val="005D6D13"/>
    <w:rsid w:val="005D7988"/>
    <w:rsid w:val="005E33B5"/>
    <w:rsid w:val="005F51A1"/>
    <w:rsid w:val="005F571D"/>
    <w:rsid w:val="00600285"/>
    <w:rsid w:val="00611B6B"/>
    <w:rsid w:val="00614B29"/>
    <w:rsid w:val="00633B36"/>
    <w:rsid w:val="006354C0"/>
    <w:rsid w:val="00636DFA"/>
    <w:rsid w:val="00646033"/>
    <w:rsid w:val="00660484"/>
    <w:rsid w:val="006610DF"/>
    <w:rsid w:val="00664941"/>
    <w:rsid w:val="006748DA"/>
    <w:rsid w:val="00682A79"/>
    <w:rsid w:val="00686A6C"/>
    <w:rsid w:val="00691239"/>
    <w:rsid w:val="00697E6D"/>
    <w:rsid w:val="00697EE4"/>
    <w:rsid w:val="006B299E"/>
    <w:rsid w:val="006B41C0"/>
    <w:rsid w:val="006C29FE"/>
    <w:rsid w:val="006C69A0"/>
    <w:rsid w:val="006D0961"/>
    <w:rsid w:val="006D5E9D"/>
    <w:rsid w:val="006D764F"/>
    <w:rsid w:val="006D791C"/>
    <w:rsid w:val="006D7B2D"/>
    <w:rsid w:val="006E1C4A"/>
    <w:rsid w:val="006E2385"/>
    <w:rsid w:val="006E536E"/>
    <w:rsid w:val="006F065C"/>
    <w:rsid w:val="006F27C9"/>
    <w:rsid w:val="006F63E0"/>
    <w:rsid w:val="007051B7"/>
    <w:rsid w:val="00707C60"/>
    <w:rsid w:val="00707FA9"/>
    <w:rsid w:val="00711B4E"/>
    <w:rsid w:val="00714C95"/>
    <w:rsid w:val="0072224B"/>
    <w:rsid w:val="00740249"/>
    <w:rsid w:val="00745359"/>
    <w:rsid w:val="007465C3"/>
    <w:rsid w:val="007466B7"/>
    <w:rsid w:val="007514D3"/>
    <w:rsid w:val="0075572D"/>
    <w:rsid w:val="00755895"/>
    <w:rsid w:val="0076700F"/>
    <w:rsid w:val="007700E3"/>
    <w:rsid w:val="0077060A"/>
    <w:rsid w:val="007721AF"/>
    <w:rsid w:val="00776A51"/>
    <w:rsid w:val="00776ED2"/>
    <w:rsid w:val="00781760"/>
    <w:rsid w:val="00787A3A"/>
    <w:rsid w:val="00790053"/>
    <w:rsid w:val="00793421"/>
    <w:rsid w:val="007A4DE5"/>
    <w:rsid w:val="007A5058"/>
    <w:rsid w:val="007B0D99"/>
    <w:rsid w:val="007B3016"/>
    <w:rsid w:val="007B3469"/>
    <w:rsid w:val="007B7844"/>
    <w:rsid w:val="007C1140"/>
    <w:rsid w:val="007C16EE"/>
    <w:rsid w:val="007D1995"/>
    <w:rsid w:val="007D4E85"/>
    <w:rsid w:val="007D6A36"/>
    <w:rsid w:val="007E1A11"/>
    <w:rsid w:val="007E2F37"/>
    <w:rsid w:val="007F127B"/>
    <w:rsid w:val="007F2122"/>
    <w:rsid w:val="00800052"/>
    <w:rsid w:val="00803F21"/>
    <w:rsid w:val="008218BF"/>
    <w:rsid w:val="00826A92"/>
    <w:rsid w:val="00827568"/>
    <w:rsid w:val="00830922"/>
    <w:rsid w:val="00842F9C"/>
    <w:rsid w:val="00864F41"/>
    <w:rsid w:val="00865747"/>
    <w:rsid w:val="008772B8"/>
    <w:rsid w:val="0088684C"/>
    <w:rsid w:val="00887BA4"/>
    <w:rsid w:val="008B0F12"/>
    <w:rsid w:val="008B131A"/>
    <w:rsid w:val="008C17AE"/>
    <w:rsid w:val="008C2345"/>
    <w:rsid w:val="008D5E2E"/>
    <w:rsid w:val="00902882"/>
    <w:rsid w:val="00905489"/>
    <w:rsid w:val="009119C4"/>
    <w:rsid w:val="00917513"/>
    <w:rsid w:val="00922AAE"/>
    <w:rsid w:val="0092332C"/>
    <w:rsid w:val="00926ABD"/>
    <w:rsid w:val="009324DF"/>
    <w:rsid w:val="00955213"/>
    <w:rsid w:val="0097260F"/>
    <w:rsid w:val="00984112"/>
    <w:rsid w:val="009A1666"/>
    <w:rsid w:val="009A200B"/>
    <w:rsid w:val="009A4007"/>
    <w:rsid w:val="009B035A"/>
    <w:rsid w:val="009B265B"/>
    <w:rsid w:val="009B6724"/>
    <w:rsid w:val="009C2003"/>
    <w:rsid w:val="009C3E23"/>
    <w:rsid w:val="009D4520"/>
    <w:rsid w:val="009D503C"/>
    <w:rsid w:val="009F5121"/>
    <w:rsid w:val="009F5A3A"/>
    <w:rsid w:val="00A00DB8"/>
    <w:rsid w:val="00A03225"/>
    <w:rsid w:val="00A036C7"/>
    <w:rsid w:val="00A15D69"/>
    <w:rsid w:val="00A215E5"/>
    <w:rsid w:val="00A22D22"/>
    <w:rsid w:val="00A30674"/>
    <w:rsid w:val="00A33C3C"/>
    <w:rsid w:val="00A37448"/>
    <w:rsid w:val="00A52D8F"/>
    <w:rsid w:val="00A604F7"/>
    <w:rsid w:val="00A64AF8"/>
    <w:rsid w:val="00A66286"/>
    <w:rsid w:val="00A67297"/>
    <w:rsid w:val="00A71507"/>
    <w:rsid w:val="00A8153A"/>
    <w:rsid w:val="00A85325"/>
    <w:rsid w:val="00A90357"/>
    <w:rsid w:val="00AA1CB4"/>
    <w:rsid w:val="00AA2F66"/>
    <w:rsid w:val="00AA709A"/>
    <w:rsid w:val="00AB3822"/>
    <w:rsid w:val="00AC0BEC"/>
    <w:rsid w:val="00AC22B8"/>
    <w:rsid w:val="00AD242D"/>
    <w:rsid w:val="00AD2BE4"/>
    <w:rsid w:val="00AD5720"/>
    <w:rsid w:val="00AD5883"/>
    <w:rsid w:val="00AE16E4"/>
    <w:rsid w:val="00AE6406"/>
    <w:rsid w:val="00B06531"/>
    <w:rsid w:val="00B1177A"/>
    <w:rsid w:val="00B13E08"/>
    <w:rsid w:val="00B178D5"/>
    <w:rsid w:val="00B2477E"/>
    <w:rsid w:val="00B26C34"/>
    <w:rsid w:val="00B31E32"/>
    <w:rsid w:val="00B323D4"/>
    <w:rsid w:val="00B33FBA"/>
    <w:rsid w:val="00B358F8"/>
    <w:rsid w:val="00B4054B"/>
    <w:rsid w:val="00B40E74"/>
    <w:rsid w:val="00B41177"/>
    <w:rsid w:val="00B413F8"/>
    <w:rsid w:val="00B45249"/>
    <w:rsid w:val="00B4682A"/>
    <w:rsid w:val="00B5068C"/>
    <w:rsid w:val="00B53CCB"/>
    <w:rsid w:val="00B5565B"/>
    <w:rsid w:val="00B55708"/>
    <w:rsid w:val="00B664C3"/>
    <w:rsid w:val="00B94AA2"/>
    <w:rsid w:val="00BA0237"/>
    <w:rsid w:val="00BB42C7"/>
    <w:rsid w:val="00BB6EA4"/>
    <w:rsid w:val="00BC04D8"/>
    <w:rsid w:val="00BC1990"/>
    <w:rsid w:val="00BC1BA7"/>
    <w:rsid w:val="00BC5BCD"/>
    <w:rsid w:val="00BD2948"/>
    <w:rsid w:val="00BD633A"/>
    <w:rsid w:val="00BE4A13"/>
    <w:rsid w:val="00BE5C08"/>
    <w:rsid w:val="00C02913"/>
    <w:rsid w:val="00C0296E"/>
    <w:rsid w:val="00C02C5F"/>
    <w:rsid w:val="00C05D6A"/>
    <w:rsid w:val="00C11D7C"/>
    <w:rsid w:val="00C129B2"/>
    <w:rsid w:val="00C23EDE"/>
    <w:rsid w:val="00C33165"/>
    <w:rsid w:val="00C33C55"/>
    <w:rsid w:val="00C3438C"/>
    <w:rsid w:val="00C42616"/>
    <w:rsid w:val="00C42DAA"/>
    <w:rsid w:val="00C50A52"/>
    <w:rsid w:val="00C50D25"/>
    <w:rsid w:val="00C5470B"/>
    <w:rsid w:val="00C5535E"/>
    <w:rsid w:val="00C65C24"/>
    <w:rsid w:val="00C701D4"/>
    <w:rsid w:val="00C7057D"/>
    <w:rsid w:val="00C7259A"/>
    <w:rsid w:val="00C82C04"/>
    <w:rsid w:val="00C86C7D"/>
    <w:rsid w:val="00C957C8"/>
    <w:rsid w:val="00CA608E"/>
    <w:rsid w:val="00CA6726"/>
    <w:rsid w:val="00CB1210"/>
    <w:rsid w:val="00CB50EE"/>
    <w:rsid w:val="00CB5CCD"/>
    <w:rsid w:val="00CC0769"/>
    <w:rsid w:val="00CD1C06"/>
    <w:rsid w:val="00CD2F54"/>
    <w:rsid w:val="00CD4DB1"/>
    <w:rsid w:val="00CD4E30"/>
    <w:rsid w:val="00CD5FAB"/>
    <w:rsid w:val="00CE3047"/>
    <w:rsid w:val="00CE5FBB"/>
    <w:rsid w:val="00CE61DA"/>
    <w:rsid w:val="00CF1652"/>
    <w:rsid w:val="00CF243F"/>
    <w:rsid w:val="00CF53BE"/>
    <w:rsid w:val="00D06386"/>
    <w:rsid w:val="00D1292A"/>
    <w:rsid w:val="00D15268"/>
    <w:rsid w:val="00D23B23"/>
    <w:rsid w:val="00D276B9"/>
    <w:rsid w:val="00D34A5D"/>
    <w:rsid w:val="00D35E2F"/>
    <w:rsid w:val="00D36B9F"/>
    <w:rsid w:val="00D53CE0"/>
    <w:rsid w:val="00D54107"/>
    <w:rsid w:val="00D77C39"/>
    <w:rsid w:val="00D77F7B"/>
    <w:rsid w:val="00D8182F"/>
    <w:rsid w:val="00D85A09"/>
    <w:rsid w:val="00D87A1D"/>
    <w:rsid w:val="00D87FFD"/>
    <w:rsid w:val="00D91046"/>
    <w:rsid w:val="00DA0074"/>
    <w:rsid w:val="00DA0CBC"/>
    <w:rsid w:val="00DB050B"/>
    <w:rsid w:val="00DB105B"/>
    <w:rsid w:val="00DB5640"/>
    <w:rsid w:val="00DC012C"/>
    <w:rsid w:val="00DC06C2"/>
    <w:rsid w:val="00DD024A"/>
    <w:rsid w:val="00DE0860"/>
    <w:rsid w:val="00DF44AA"/>
    <w:rsid w:val="00DF666E"/>
    <w:rsid w:val="00DF6DFD"/>
    <w:rsid w:val="00E10CD4"/>
    <w:rsid w:val="00E12EF9"/>
    <w:rsid w:val="00E214B0"/>
    <w:rsid w:val="00E2774C"/>
    <w:rsid w:val="00E30017"/>
    <w:rsid w:val="00E33417"/>
    <w:rsid w:val="00E33837"/>
    <w:rsid w:val="00E36A00"/>
    <w:rsid w:val="00E412D5"/>
    <w:rsid w:val="00E422BD"/>
    <w:rsid w:val="00E44560"/>
    <w:rsid w:val="00E467DA"/>
    <w:rsid w:val="00E711F4"/>
    <w:rsid w:val="00E720C0"/>
    <w:rsid w:val="00E74B01"/>
    <w:rsid w:val="00E937B2"/>
    <w:rsid w:val="00EA05C2"/>
    <w:rsid w:val="00EA52BC"/>
    <w:rsid w:val="00EC0454"/>
    <w:rsid w:val="00EC3CCF"/>
    <w:rsid w:val="00EC6676"/>
    <w:rsid w:val="00EC7FE9"/>
    <w:rsid w:val="00ED2E6C"/>
    <w:rsid w:val="00ED712C"/>
    <w:rsid w:val="00EE6ADF"/>
    <w:rsid w:val="00EF1E5A"/>
    <w:rsid w:val="00EF61D5"/>
    <w:rsid w:val="00EF6284"/>
    <w:rsid w:val="00EF71BA"/>
    <w:rsid w:val="00F11B80"/>
    <w:rsid w:val="00F1434B"/>
    <w:rsid w:val="00F148F8"/>
    <w:rsid w:val="00F32639"/>
    <w:rsid w:val="00F33A41"/>
    <w:rsid w:val="00F349E1"/>
    <w:rsid w:val="00F44A94"/>
    <w:rsid w:val="00F50106"/>
    <w:rsid w:val="00F53D1E"/>
    <w:rsid w:val="00F55AFF"/>
    <w:rsid w:val="00F63FD2"/>
    <w:rsid w:val="00F67A7C"/>
    <w:rsid w:val="00F67D56"/>
    <w:rsid w:val="00F72AD9"/>
    <w:rsid w:val="00F72E12"/>
    <w:rsid w:val="00F74CB2"/>
    <w:rsid w:val="00F823E7"/>
    <w:rsid w:val="00F87DB1"/>
    <w:rsid w:val="00F97007"/>
    <w:rsid w:val="00FA329F"/>
    <w:rsid w:val="00FA343B"/>
    <w:rsid w:val="00FA414E"/>
    <w:rsid w:val="00FA4C11"/>
    <w:rsid w:val="00FC01E2"/>
    <w:rsid w:val="00FC238C"/>
    <w:rsid w:val="00FC280A"/>
    <w:rsid w:val="00FC2EF4"/>
    <w:rsid w:val="00FC50B8"/>
    <w:rsid w:val="00FC6F28"/>
    <w:rsid w:val="00FD0FEC"/>
    <w:rsid w:val="00FD721F"/>
    <w:rsid w:val="00FE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E1A5C7-7206-4D29-B68A-CBD3AA88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5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35E"/>
    <w:pPr>
      <w:tabs>
        <w:tab w:val="center" w:pos="4320"/>
        <w:tab w:val="right" w:pos="8640"/>
      </w:tabs>
    </w:pPr>
    <w:rPr>
      <w:lang w:val="x-none" w:eastAsia="x-none"/>
    </w:rPr>
  </w:style>
  <w:style w:type="character" w:customStyle="1" w:styleId="FooterChar">
    <w:name w:val="Footer Char"/>
    <w:link w:val="Footer"/>
    <w:uiPriority w:val="99"/>
    <w:rsid w:val="00C5535E"/>
    <w:rPr>
      <w:rFonts w:ascii="Times New Roman" w:eastAsia="Times New Roman" w:hAnsi="Times New Roman" w:cs="Times New Roman"/>
      <w:sz w:val="24"/>
      <w:szCs w:val="24"/>
    </w:rPr>
  </w:style>
  <w:style w:type="character" w:styleId="PageNumber">
    <w:name w:val="page number"/>
    <w:basedOn w:val="DefaultParagraphFont"/>
    <w:rsid w:val="00C5535E"/>
  </w:style>
  <w:style w:type="paragraph" w:styleId="BalloonText">
    <w:name w:val="Balloon Text"/>
    <w:basedOn w:val="Normal"/>
    <w:link w:val="BalloonTextChar"/>
    <w:uiPriority w:val="99"/>
    <w:semiHidden/>
    <w:unhideWhenUsed/>
    <w:rsid w:val="00926ABD"/>
    <w:rPr>
      <w:rFonts w:ascii="Tahoma" w:hAnsi="Tahoma"/>
      <w:sz w:val="16"/>
      <w:szCs w:val="16"/>
      <w:lang w:val="x-none" w:eastAsia="x-none"/>
    </w:rPr>
  </w:style>
  <w:style w:type="character" w:customStyle="1" w:styleId="BalloonTextChar">
    <w:name w:val="Balloon Text Char"/>
    <w:link w:val="BalloonText"/>
    <w:uiPriority w:val="99"/>
    <w:semiHidden/>
    <w:rsid w:val="00926ABD"/>
    <w:rPr>
      <w:rFonts w:ascii="Tahoma" w:eastAsia="Times New Roman" w:hAnsi="Tahoma" w:cs="Tahoma"/>
      <w:sz w:val="16"/>
      <w:szCs w:val="16"/>
    </w:rPr>
  </w:style>
  <w:style w:type="paragraph" w:styleId="NormalWeb">
    <w:name w:val="Normal (Web)"/>
    <w:basedOn w:val="Normal"/>
    <w:uiPriority w:val="99"/>
    <w:unhideWhenUsed/>
    <w:rsid w:val="0057282E"/>
    <w:pPr>
      <w:spacing w:before="100" w:beforeAutospacing="1" w:after="100" w:afterAutospacing="1"/>
    </w:pPr>
  </w:style>
  <w:style w:type="paragraph" w:styleId="ListParagraph">
    <w:name w:val="List Paragraph"/>
    <w:basedOn w:val="Normal"/>
    <w:uiPriority w:val="34"/>
    <w:qFormat/>
    <w:rsid w:val="00EC7FE9"/>
    <w:pPr>
      <w:ind w:left="720"/>
      <w:contextualSpacing/>
    </w:pPr>
  </w:style>
  <w:style w:type="character" w:styleId="CommentReference">
    <w:name w:val="annotation reference"/>
    <w:uiPriority w:val="99"/>
    <w:semiHidden/>
    <w:unhideWhenUsed/>
    <w:rsid w:val="00186856"/>
    <w:rPr>
      <w:sz w:val="16"/>
      <w:szCs w:val="16"/>
    </w:rPr>
  </w:style>
  <w:style w:type="paragraph" w:styleId="CommentText">
    <w:name w:val="annotation text"/>
    <w:basedOn w:val="Normal"/>
    <w:link w:val="CommentTextChar"/>
    <w:uiPriority w:val="99"/>
    <w:semiHidden/>
    <w:unhideWhenUsed/>
    <w:rsid w:val="00186856"/>
    <w:rPr>
      <w:sz w:val="20"/>
      <w:szCs w:val="20"/>
      <w:lang w:val="x-none" w:eastAsia="x-none"/>
    </w:rPr>
  </w:style>
  <w:style w:type="character" w:customStyle="1" w:styleId="CommentTextChar">
    <w:name w:val="Comment Text Char"/>
    <w:link w:val="CommentText"/>
    <w:uiPriority w:val="99"/>
    <w:semiHidden/>
    <w:rsid w:val="0018685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6856"/>
    <w:rPr>
      <w:b/>
      <w:bCs/>
    </w:rPr>
  </w:style>
  <w:style w:type="character" w:customStyle="1" w:styleId="CommentSubjectChar">
    <w:name w:val="Comment Subject Char"/>
    <w:link w:val="CommentSubject"/>
    <w:uiPriority w:val="99"/>
    <w:semiHidden/>
    <w:rsid w:val="00186856"/>
    <w:rPr>
      <w:rFonts w:ascii="Times New Roman" w:eastAsia="Times New Roman" w:hAnsi="Times New Roman"/>
      <w:b/>
      <w:bCs/>
    </w:rPr>
  </w:style>
  <w:style w:type="paragraph" w:styleId="Header">
    <w:name w:val="header"/>
    <w:basedOn w:val="Normal"/>
    <w:link w:val="HeaderChar"/>
    <w:uiPriority w:val="99"/>
    <w:unhideWhenUsed/>
    <w:rsid w:val="009324DF"/>
    <w:pPr>
      <w:tabs>
        <w:tab w:val="center" w:pos="4680"/>
        <w:tab w:val="right" w:pos="9360"/>
      </w:tabs>
    </w:pPr>
    <w:rPr>
      <w:lang w:val="x-none" w:eastAsia="x-none"/>
    </w:rPr>
  </w:style>
  <w:style w:type="character" w:customStyle="1" w:styleId="HeaderChar">
    <w:name w:val="Header Char"/>
    <w:link w:val="Header"/>
    <w:uiPriority w:val="99"/>
    <w:rsid w:val="009324DF"/>
    <w:rPr>
      <w:rFonts w:ascii="Times New Roman" w:eastAsia="Times New Roman" w:hAnsi="Times New Roman"/>
      <w:sz w:val="24"/>
      <w:szCs w:val="24"/>
    </w:rPr>
  </w:style>
  <w:style w:type="character" w:styleId="Emphasis">
    <w:name w:val="Emphasis"/>
    <w:basedOn w:val="DefaultParagraphFont"/>
    <w:uiPriority w:val="20"/>
    <w:qFormat/>
    <w:rsid w:val="005B0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17587">
      <w:bodyDiv w:val="1"/>
      <w:marLeft w:val="0"/>
      <w:marRight w:val="0"/>
      <w:marTop w:val="0"/>
      <w:marBottom w:val="0"/>
      <w:divBdr>
        <w:top w:val="none" w:sz="0" w:space="0" w:color="auto"/>
        <w:left w:val="none" w:sz="0" w:space="0" w:color="auto"/>
        <w:bottom w:val="none" w:sz="0" w:space="0" w:color="auto"/>
        <w:right w:val="none" w:sz="0" w:space="0" w:color="auto"/>
      </w:divBdr>
    </w:div>
    <w:div w:id="612370581">
      <w:bodyDiv w:val="1"/>
      <w:marLeft w:val="0"/>
      <w:marRight w:val="0"/>
      <w:marTop w:val="0"/>
      <w:marBottom w:val="0"/>
      <w:divBdr>
        <w:top w:val="none" w:sz="0" w:space="0" w:color="auto"/>
        <w:left w:val="none" w:sz="0" w:space="0" w:color="auto"/>
        <w:bottom w:val="none" w:sz="0" w:space="0" w:color="auto"/>
        <w:right w:val="none" w:sz="0" w:space="0" w:color="auto"/>
      </w:divBdr>
    </w:div>
    <w:div w:id="679895808">
      <w:bodyDiv w:val="1"/>
      <w:marLeft w:val="0"/>
      <w:marRight w:val="0"/>
      <w:marTop w:val="0"/>
      <w:marBottom w:val="0"/>
      <w:divBdr>
        <w:top w:val="none" w:sz="0" w:space="0" w:color="auto"/>
        <w:left w:val="none" w:sz="0" w:space="0" w:color="auto"/>
        <w:bottom w:val="none" w:sz="0" w:space="0" w:color="auto"/>
        <w:right w:val="none" w:sz="0" w:space="0" w:color="auto"/>
      </w:divBdr>
    </w:div>
    <w:div w:id="982856434">
      <w:bodyDiv w:val="1"/>
      <w:marLeft w:val="0"/>
      <w:marRight w:val="0"/>
      <w:marTop w:val="0"/>
      <w:marBottom w:val="0"/>
      <w:divBdr>
        <w:top w:val="none" w:sz="0" w:space="0" w:color="auto"/>
        <w:left w:val="none" w:sz="0" w:space="0" w:color="auto"/>
        <w:bottom w:val="none" w:sz="0" w:space="0" w:color="auto"/>
        <w:right w:val="none" w:sz="0" w:space="0" w:color="auto"/>
      </w:divBdr>
    </w:div>
    <w:div w:id="11096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3</cp:revision>
  <cp:lastPrinted>2018-04-26T01:21:00Z</cp:lastPrinted>
  <dcterms:created xsi:type="dcterms:W3CDTF">2021-04-13T08:38:00Z</dcterms:created>
  <dcterms:modified xsi:type="dcterms:W3CDTF">2021-04-13T08:38:00Z</dcterms:modified>
</cp:coreProperties>
</file>