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E7" w:rsidRDefault="007C7FE7" w:rsidP="007C7FE7">
      <w:pPr>
        <w:jc w:val="center"/>
        <w:divId w:val="152530872"/>
        <w:rPr>
          <w:b/>
          <w:sz w:val="28"/>
          <w:szCs w:val="28"/>
        </w:rPr>
      </w:pPr>
    </w:p>
    <w:p w:rsidR="00A21121" w:rsidRPr="007C7FE7" w:rsidRDefault="00A21121" w:rsidP="007C7FE7">
      <w:pPr>
        <w:jc w:val="center"/>
        <w:divId w:val="152530872"/>
        <w:rPr>
          <w:b/>
          <w:sz w:val="28"/>
          <w:szCs w:val="28"/>
        </w:rPr>
      </w:pPr>
    </w:p>
    <w:p w:rsidR="007C7FE7" w:rsidRDefault="007C7FE7" w:rsidP="007C7FE7">
      <w:pPr>
        <w:divId w:val="152530872"/>
        <w:rPr>
          <w:szCs w:val="28"/>
        </w:rPr>
      </w:pPr>
    </w:p>
    <w:tbl>
      <w:tblPr>
        <w:tblW w:w="9838" w:type="dxa"/>
        <w:tblCellMar>
          <w:left w:w="0" w:type="dxa"/>
          <w:right w:w="0" w:type="dxa"/>
        </w:tblCellMar>
        <w:tblLook w:val="04A0" w:firstRow="1" w:lastRow="0" w:firstColumn="1" w:lastColumn="0" w:noHBand="0" w:noVBand="1"/>
      </w:tblPr>
      <w:tblGrid>
        <w:gridCol w:w="3721"/>
        <w:gridCol w:w="6117"/>
      </w:tblGrid>
      <w:tr w:rsidR="007C7FE7">
        <w:trPr>
          <w:divId w:val="152530872"/>
          <w:trHeight w:val="547"/>
        </w:trPr>
        <w:tc>
          <w:tcPr>
            <w:tcW w:w="3721" w:type="dxa"/>
            <w:tcMar>
              <w:top w:w="0" w:type="dxa"/>
              <w:left w:w="108" w:type="dxa"/>
              <w:bottom w:w="0" w:type="dxa"/>
              <w:right w:w="108" w:type="dxa"/>
            </w:tcMar>
          </w:tcPr>
          <w:p w:rsidR="007C7FE7" w:rsidRPr="00946697" w:rsidRDefault="00F52EA6" w:rsidP="00E65DEA">
            <w:pPr>
              <w:jc w:val="center"/>
              <w:rPr>
                <w:b/>
                <w:sz w:val="26"/>
                <w:szCs w:val="26"/>
              </w:rPr>
            </w:pPr>
            <w:r w:rsidRPr="00946697">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457200</wp:posOffset>
                      </wp:positionV>
                      <wp:extent cx="914400" cy="0"/>
                      <wp:effectExtent l="5715" t="6350" r="13335" b="1270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352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11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T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"/>
                  </w:pict>
                </mc:Fallback>
              </mc:AlternateContent>
            </w:r>
            <w:r w:rsidR="007C7FE7" w:rsidRPr="00946697">
              <w:rPr>
                <w:b/>
                <w:sz w:val="26"/>
                <w:szCs w:val="26"/>
              </w:rPr>
              <w:t>ỦY BAN NHÂN DÂN</w:t>
            </w:r>
            <w:r w:rsidR="007C7FE7" w:rsidRPr="00946697">
              <w:rPr>
                <w:b/>
                <w:sz w:val="26"/>
                <w:szCs w:val="26"/>
              </w:rPr>
              <w:br/>
              <w:t>THÀNH PHỐ ĐÀ NẴNG</w:t>
            </w:r>
            <w:r w:rsidR="007C7FE7" w:rsidRPr="00946697">
              <w:rPr>
                <w:b/>
                <w:sz w:val="26"/>
                <w:szCs w:val="26"/>
              </w:rPr>
              <w:br/>
            </w:r>
          </w:p>
        </w:tc>
        <w:tc>
          <w:tcPr>
            <w:tcW w:w="6117" w:type="dxa"/>
            <w:tcMar>
              <w:top w:w="0" w:type="dxa"/>
              <w:left w:w="108" w:type="dxa"/>
              <w:bottom w:w="0" w:type="dxa"/>
              <w:right w:w="108" w:type="dxa"/>
            </w:tcMar>
          </w:tcPr>
          <w:p w:rsidR="007C7FE7" w:rsidRDefault="00F52EA6" w:rsidP="00E65DEA">
            <w:pPr>
              <w:jc w:val="center"/>
              <w:rPr>
                <w:b/>
                <w:sz w:val="28"/>
                <w:szCs w:val="28"/>
              </w:rPr>
            </w:pPr>
            <w:r w:rsidRPr="00471371">
              <w:rPr>
                <w:noProof/>
              </w:rPr>
              <mc:AlternateContent>
                <mc:Choice Requires="wps">
                  <w:drawing>
                    <wp:anchor distT="0" distB="0" distL="114300" distR="114300" simplePos="0" relativeHeight="251656704" behindDoc="0" locked="0" layoutInCell="1" allowOverlap="1">
                      <wp:simplePos x="0" y="0"/>
                      <wp:positionH relativeFrom="column">
                        <wp:posOffset>989965</wp:posOffset>
                      </wp:positionH>
                      <wp:positionV relativeFrom="paragraph">
                        <wp:posOffset>457200</wp:posOffset>
                      </wp:positionV>
                      <wp:extent cx="1828800" cy="0"/>
                      <wp:effectExtent l="5715" t="6350" r="13335" b="1270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BBD0F"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36pt" to="22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O5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"/>
                  </w:pict>
                </mc:Fallback>
              </mc:AlternateContent>
            </w:r>
            <w:r w:rsidR="007C7FE7">
              <w:rPr>
                <w:b/>
                <w:sz w:val="26"/>
                <w:szCs w:val="26"/>
              </w:rPr>
              <w:t xml:space="preserve">  CỘNG HÒA XÃ HỘI CHỦ NGHĨA VIỆT </w:t>
            </w:r>
            <w:smartTag w:uri="urn:schemas-microsoft-com:office:smarttags" w:element="place">
              <w:smartTag w:uri="urn:schemas-microsoft-com:office:smarttags" w:element="country-region">
                <w:r w:rsidR="007C7FE7">
                  <w:rPr>
                    <w:b/>
                    <w:sz w:val="26"/>
                    <w:szCs w:val="26"/>
                  </w:rPr>
                  <w:t>NAM</w:t>
                </w:r>
              </w:smartTag>
            </w:smartTag>
            <w:r w:rsidR="007C7FE7">
              <w:rPr>
                <w:b/>
                <w:sz w:val="28"/>
                <w:szCs w:val="28"/>
              </w:rPr>
              <w:br/>
              <w:t xml:space="preserve">Độc lập - Tự do - Hạnh phúc </w:t>
            </w:r>
            <w:r w:rsidR="007C7FE7">
              <w:rPr>
                <w:b/>
                <w:sz w:val="28"/>
                <w:szCs w:val="28"/>
              </w:rPr>
              <w:br/>
            </w:r>
          </w:p>
        </w:tc>
      </w:tr>
      <w:tr w:rsidR="007C7FE7" w:rsidRPr="00946697">
        <w:trPr>
          <w:divId w:val="152530872"/>
          <w:trHeight w:val="273"/>
        </w:trPr>
        <w:tc>
          <w:tcPr>
            <w:tcW w:w="3721" w:type="dxa"/>
            <w:tcMar>
              <w:top w:w="0" w:type="dxa"/>
              <w:left w:w="108" w:type="dxa"/>
              <w:bottom w:w="0" w:type="dxa"/>
              <w:right w:w="108" w:type="dxa"/>
            </w:tcMar>
            <w:vAlign w:val="center"/>
          </w:tcPr>
          <w:p w:rsidR="007C7FE7" w:rsidRPr="00946697" w:rsidRDefault="007C7FE7" w:rsidP="00E65DEA">
            <w:pPr>
              <w:jc w:val="center"/>
              <w:rPr>
                <w:sz w:val="28"/>
                <w:szCs w:val="28"/>
              </w:rPr>
            </w:pPr>
            <w:r w:rsidRPr="00946697">
              <w:rPr>
                <w:sz w:val="28"/>
                <w:szCs w:val="28"/>
              </w:rPr>
              <w:t>Số: 26 /2016/QĐ-UBND</w:t>
            </w:r>
          </w:p>
        </w:tc>
        <w:tc>
          <w:tcPr>
            <w:tcW w:w="6117" w:type="dxa"/>
            <w:tcMar>
              <w:top w:w="0" w:type="dxa"/>
              <w:left w:w="108" w:type="dxa"/>
              <w:bottom w:w="0" w:type="dxa"/>
              <w:right w:w="108" w:type="dxa"/>
            </w:tcMar>
            <w:vAlign w:val="center"/>
          </w:tcPr>
          <w:p w:rsidR="007C7FE7" w:rsidRPr="00946697" w:rsidRDefault="007C7FE7" w:rsidP="00E65DEA">
            <w:pPr>
              <w:jc w:val="center"/>
              <w:rPr>
                <w:sz w:val="28"/>
                <w:szCs w:val="28"/>
              </w:rPr>
            </w:pPr>
            <w:r>
              <w:rPr>
                <w:i/>
                <w:iCs/>
                <w:sz w:val="28"/>
                <w:szCs w:val="28"/>
              </w:rPr>
              <w:t xml:space="preserve">   </w:t>
            </w:r>
            <w:r w:rsidRPr="00946697">
              <w:rPr>
                <w:i/>
                <w:iCs/>
                <w:sz w:val="28"/>
                <w:szCs w:val="28"/>
              </w:rPr>
              <w:t>Đà Nẵng, ngày 29 tháng 8 năm 2016</w:t>
            </w:r>
          </w:p>
        </w:tc>
      </w:tr>
    </w:tbl>
    <w:p w:rsidR="007C7FE7" w:rsidRPr="00946697" w:rsidRDefault="007C7FE7" w:rsidP="007C7FE7">
      <w:pPr>
        <w:divId w:val="152530872"/>
        <w:rPr>
          <w:sz w:val="28"/>
          <w:szCs w:val="28"/>
        </w:rPr>
      </w:pPr>
      <w:r w:rsidRPr="00946697">
        <w:rPr>
          <w:sz w:val="28"/>
          <w:szCs w:val="28"/>
        </w:rPr>
        <w:t> </w:t>
      </w:r>
    </w:p>
    <w:p w:rsidR="007C7FE7" w:rsidRDefault="007C7FE7" w:rsidP="007C7FE7">
      <w:pPr>
        <w:spacing w:line="276" w:lineRule="auto"/>
        <w:jc w:val="center"/>
        <w:divId w:val="152530872"/>
        <w:rPr>
          <w:b/>
          <w:sz w:val="28"/>
          <w:szCs w:val="28"/>
        </w:rPr>
      </w:pPr>
    </w:p>
    <w:p w:rsidR="007C7FE7" w:rsidRPr="00946697" w:rsidRDefault="007C7FE7" w:rsidP="007C7FE7">
      <w:pPr>
        <w:spacing w:line="276" w:lineRule="auto"/>
        <w:jc w:val="center"/>
        <w:divId w:val="152530872"/>
        <w:rPr>
          <w:b/>
          <w:sz w:val="28"/>
          <w:szCs w:val="28"/>
        </w:rPr>
      </w:pPr>
      <w:r w:rsidRPr="00946697">
        <w:rPr>
          <w:b/>
          <w:sz w:val="28"/>
          <w:szCs w:val="28"/>
        </w:rPr>
        <w:t>QUYẾT ĐỊNH</w:t>
      </w:r>
    </w:p>
    <w:p w:rsidR="007C7FE7" w:rsidRPr="00946697" w:rsidRDefault="007C7FE7" w:rsidP="007C7FE7">
      <w:pPr>
        <w:jc w:val="center"/>
        <w:divId w:val="152530872"/>
        <w:rPr>
          <w:b/>
          <w:sz w:val="28"/>
          <w:szCs w:val="28"/>
        </w:rPr>
      </w:pPr>
      <w:r w:rsidRPr="00946697">
        <w:rPr>
          <w:b/>
          <w:sz w:val="28"/>
          <w:szCs w:val="28"/>
        </w:rPr>
        <w:t>Về việc bổ sung nội dung tại Khoản 2 Điều 5 của Quy định một số chính sách khuyến khích xã hội hóa đối với các hoạt động trong lĩnh vực giáo dục, dạy nghề, y tế, văn hóa, thể thao, môi trường, giám định tư pháp trên địa bàn thành phố Đà Nẵng ban hành kèm theo Quyết định số 11/2016/QĐ-UBND ngày 22 tháng 3 năm 2016 của UBND thành phố Đà Nẵng</w:t>
      </w:r>
    </w:p>
    <w:p w:rsidR="007C7FE7" w:rsidRDefault="00F52EA6" w:rsidP="007C7FE7">
      <w:pPr>
        <w:spacing w:line="276" w:lineRule="auto"/>
        <w:divId w:val="152530872"/>
        <w:rPr>
          <w:sz w:val="28"/>
          <w:szCs w:val="28"/>
        </w:rPr>
      </w:pPr>
      <w:r w:rsidRPr="00471371">
        <w:rPr>
          <w:noProof/>
        </w:rPr>
        <mc:AlternateContent>
          <mc:Choice Requires="wps">
            <w:drawing>
              <wp:anchor distT="0" distB="0" distL="114300" distR="114300" simplePos="0" relativeHeight="251658752" behindDoc="0" locked="0" layoutInCell="1" allowOverlap="1">
                <wp:simplePos x="0" y="0"/>
                <wp:positionH relativeFrom="column">
                  <wp:posOffset>2171700</wp:posOffset>
                </wp:positionH>
                <wp:positionV relativeFrom="paragraph">
                  <wp:posOffset>36830</wp:posOffset>
                </wp:positionV>
                <wp:extent cx="1600200" cy="0"/>
                <wp:effectExtent l="5715" t="9525" r="1333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6414"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9pt" to="29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j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"/>
            </w:pict>
          </mc:Fallback>
        </mc:AlternateContent>
      </w:r>
    </w:p>
    <w:p w:rsidR="007C7FE7" w:rsidRDefault="007C7FE7" w:rsidP="007C7FE7">
      <w:pPr>
        <w:spacing w:line="288" w:lineRule="auto"/>
        <w:jc w:val="center"/>
        <w:divId w:val="152530872"/>
        <w:rPr>
          <w:b/>
          <w:sz w:val="28"/>
          <w:szCs w:val="28"/>
        </w:rPr>
      </w:pPr>
      <w:bookmarkStart w:id="0" w:name="_GoBack"/>
      <w:bookmarkEnd w:id="0"/>
      <w:r>
        <w:rPr>
          <w:b/>
          <w:sz w:val="28"/>
          <w:szCs w:val="28"/>
        </w:rPr>
        <w:t>ỦY BAN NHÂN DÂN THÀNH PHỐ ĐÀ NẴNG</w:t>
      </w:r>
    </w:p>
    <w:p w:rsidR="007C7FE7" w:rsidRDefault="007C7FE7" w:rsidP="007C7FE7">
      <w:pPr>
        <w:spacing w:line="288" w:lineRule="auto"/>
        <w:ind w:firstLine="720"/>
        <w:jc w:val="both"/>
        <w:divId w:val="152530872"/>
        <w:rPr>
          <w:iCs/>
          <w:sz w:val="6"/>
          <w:szCs w:val="28"/>
        </w:rPr>
      </w:pPr>
    </w:p>
    <w:p w:rsidR="007C7FE7" w:rsidRPr="00946697" w:rsidRDefault="007C7FE7" w:rsidP="007C7FE7">
      <w:pPr>
        <w:spacing w:line="264" w:lineRule="auto"/>
        <w:ind w:firstLine="720"/>
        <w:jc w:val="both"/>
        <w:divId w:val="152530872"/>
        <w:rPr>
          <w:iCs/>
          <w:sz w:val="28"/>
          <w:szCs w:val="28"/>
        </w:rPr>
      </w:pPr>
      <w:r w:rsidRPr="00946697">
        <w:rPr>
          <w:iCs/>
          <w:sz w:val="28"/>
          <w:szCs w:val="28"/>
        </w:rPr>
        <w:t>Căn cứ Luật Tổ chức chính quyền địa phương ngày 19 tháng 6 năm 2015;</w:t>
      </w:r>
    </w:p>
    <w:p w:rsidR="007C7FE7" w:rsidRPr="00946697" w:rsidRDefault="007C7FE7" w:rsidP="007C7FE7">
      <w:pPr>
        <w:tabs>
          <w:tab w:val="right" w:pos="9072"/>
        </w:tabs>
        <w:spacing w:line="264" w:lineRule="auto"/>
        <w:ind w:firstLine="720"/>
        <w:jc w:val="both"/>
        <w:divId w:val="152530872"/>
        <w:rPr>
          <w:iCs/>
          <w:sz w:val="28"/>
          <w:szCs w:val="28"/>
        </w:rPr>
      </w:pPr>
      <w:r w:rsidRPr="00946697">
        <w:rPr>
          <w:iCs/>
          <w:sz w:val="28"/>
          <w:szCs w:val="28"/>
        </w:rPr>
        <w:t>Căn cứ Luật đầu tư số 67/2014/QH13 ngày 26 tháng 11 năm 2014;</w:t>
      </w:r>
      <w:r w:rsidRPr="00946697">
        <w:rPr>
          <w:iCs/>
          <w:sz w:val="28"/>
          <w:szCs w:val="28"/>
        </w:rPr>
        <w:tab/>
      </w:r>
    </w:p>
    <w:p w:rsidR="007C7FE7" w:rsidRPr="00946697" w:rsidRDefault="007C7FE7" w:rsidP="007C7FE7">
      <w:pPr>
        <w:spacing w:line="264" w:lineRule="auto"/>
        <w:ind w:firstLine="720"/>
        <w:jc w:val="both"/>
        <w:divId w:val="152530872"/>
        <w:rPr>
          <w:iCs/>
          <w:sz w:val="28"/>
          <w:szCs w:val="28"/>
        </w:rPr>
      </w:pPr>
      <w:r w:rsidRPr="00946697">
        <w:rPr>
          <w:iCs/>
          <w:sz w:val="28"/>
          <w:szCs w:val="28"/>
        </w:rPr>
        <w:t>Căn cứ Luật đất đai số 45/2013/QH13 ngày 29 tháng 11 năm 2013;</w:t>
      </w:r>
    </w:p>
    <w:p w:rsidR="007C7FE7" w:rsidRPr="00946697" w:rsidRDefault="007C7FE7" w:rsidP="007C7FE7">
      <w:pPr>
        <w:spacing w:line="264" w:lineRule="auto"/>
        <w:ind w:firstLine="720"/>
        <w:jc w:val="both"/>
        <w:divId w:val="152530872"/>
        <w:rPr>
          <w:iCs/>
          <w:sz w:val="28"/>
          <w:szCs w:val="28"/>
        </w:rPr>
      </w:pPr>
      <w:r w:rsidRPr="00946697">
        <w:rPr>
          <w:iCs/>
          <w:sz w:val="28"/>
          <w:szCs w:val="28"/>
        </w:rPr>
        <w:t>Căn cứ Nghị định số 43/2014/NĐ-CP ngày 15 tháng 5 năm 2014 của Chính phủ về Quy định chi tiết thi hành một số điều của Luật Đất đai;</w:t>
      </w:r>
    </w:p>
    <w:p w:rsidR="007C7FE7" w:rsidRPr="00946697" w:rsidRDefault="007C7FE7" w:rsidP="007C7FE7">
      <w:pPr>
        <w:spacing w:line="264" w:lineRule="auto"/>
        <w:ind w:firstLine="720"/>
        <w:jc w:val="both"/>
        <w:divId w:val="152530872"/>
        <w:rPr>
          <w:sz w:val="28"/>
          <w:szCs w:val="28"/>
        </w:rPr>
      </w:pPr>
      <w:r w:rsidRPr="00946697">
        <w:rPr>
          <w:iCs/>
          <w:sz w:val="28"/>
          <w:szCs w:val="28"/>
        </w:rPr>
        <w:t>Căn cứ Nghị định số 46/2014/NĐ-CP ngày 15 tháng 5 năm 2014 của Chính phủ Quy định về thu tiền thuê đât, thuê mặt nước;</w:t>
      </w:r>
    </w:p>
    <w:p w:rsidR="007C7FE7" w:rsidRPr="00946697" w:rsidRDefault="007C7FE7" w:rsidP="007C7FE7">
      <w:pPr>
        <w:spacing w:line="264" w:lineRule="auto"/>
        <w:ind w:firstLine="720"/>
        <w:jc w:val="both"/>
        <w:divId w:val="152530872"/>
        <w:rPr>
          <w:iCs/>
          <w:sz w:val="28"/>
          <w:szCs w:val="28"/>
        </w:rPr>
      </w:pPr>
      <w:r w:rsidRPr="00946697">
        <w:rPr>
          <w:iCs/>
          <w:sz w:val="28"/>
          <w:szCs w:val="28"/>
        </w:rPr>
        <w:t>Căn cứ Nghị định số 69/2008/NĐ-CP ngày 30 tháng 5 năm 2008 của Chính phủ về chính sách khuyến khích xã hội hóa đối với các hoạt động trong lĩnh vực giáo dục, dạy nghề, y tế, văn hóa, thể thao, môi trường;</w:t>
      </w:r>
    </w:p>
    <w:p w:rsidR="007C7FE7" w:rsidRPr="00946697" w:rsidRDefault="007C7FE7" w:rsidP="007C7FE7">
      <w:pPr>
        <w:spacing w:line="264" w:lineRule="auto"/>
        <w:ind w:firstLine="720"/>
        <w:jc w:val="both"/>
        <w:divId w:val="152530872"/>
        <w:rPr>
          <w:iCs/>
          <w:sz w:val="28"/>
          <w:szCs w:val="28"/>
        </w:rPr>
      </w:pPr>
      <w:r w:rsidRPr="00946697">
        <w:rPr>
          <w:iCs/>
          <w:sz w:val="28"/>
          <w:szCs w:val="28"/>
        </w:rPr>
        <w:t>Căn cứ Nghị định số 59/2014/NĐ-CP ngày 16 tháng 6 năm 2014 của Chính phủ sửa đổi, bổ sung một số điều của Nghị định số 69/2008/NĐ-CP ngày 30 tháng 5 năm 2008 của Chính phủ về chính sách khuyến khích xã hội hóa đối với các hoạt động trong lĩnh vực giáo dục, dạy nghề, y tế, văn hóa, thể thao, môi trường;</w:t>
      </w:r>
    </w:p>
    <w:p w:rsidR="007C7FE7" w:rsidRPr="00946697" w:rsidRDefault="007C7FE7" w:rsidP="007C7FE7">
      <w:pPr>
        <w:spacing w:line="264" w:lineRule="auto"/>
        <w:ind w:firstLine="720"/>
        <w:jc w:val="both"/>
        <w:divId w:val="152530872"/>
        <w:rPr>
          <w:iCs/>
          <w:sz w:val="28"/>
          <w:szCs w:val="28"/>
        </w:rPr>
      </w:pPr>
      <w:r w:rsidRPr="00946697">
        <w:rPr>
          <w:iCs/>
          <w:sz w:val="28"/>
          <w:szCs w:val="28"/>
        </w:rPr>
        <w:t>Căn cứ Thông tư số 135/2008/TT-BTC ngày 31 tháng 12 năm 2008 của Bộ Tài chính hướng dẫn Nghị định số 69/2008/NĐ-CP ngày 30 tháng 5 năm 2008 của Chính phủ về chính sách khuyến khích xã hội hóa đối với các hoạt động trong lĩnh vực giáo dục, dạy nghề, y tế, văn hóa, thể thao, môi trường;</w:t>
      </w:r>
    </w:p>
    <w:p w:rsidR="007C7FE7" w:rsidRPr="00946697" w:rsidRDefault="007C7FE7" w:rsidP="007C7FE7">
      <w:pPr>
        <w:spacing w:line="264" w:lineRule="auto"/>
        <w:ind w:firstLine="720"/>
        <w:jc w:val="both"/>
        <w:divId w:val="152530872"/>
        <w:rPr>
          <w:iCs/>
          <w:sz w:val="28"/>
          <w:szCs w:val="28"/>
        </w:rPr>
      </w:pPr>
      <w:r w:rsidRPr="00946697">
        <w:rPr>
          <w:iCs/>
          <w:sz w:val="28"/>
          <w:szCs w:val="28"/>
        </w:rPr>
        <w:t>Căn cứ Thông tư số 156/2014/TT-BTC ngày 23 tháng 10 năm 2014 của Bộ Tài chính sửa đổi, bổ sung một số điều của Thông tư số 135/2008/TT-BTC ngày 31 tháng 12 năm 2008 của Bộ Tài chính hướng dẫn Nghị định số 69/2008/NĐ-CP ngày 30 tháng 5 năm 2008 của Chính phủ về chính sách khuyến khích xã hội hóa đối với các hoạt động trong lĩnh vực giáo dục, dạy nghề, y tế, văn hóa, thể thao, môi trường;</w:t>
      </w:r>
    </w:p>
    <w:p w:rsidR="007C7FE7" w:rsidRPr="00946697" w:rsidRDefault="007C7FE7" w:rsidP="007C7FE7">
      <w:pPr>
        <w:spacing w:line="264" w:lineRule="auto"/>
        <w:ind w:firstLine="720"/>
        <w:jc w:val="both"/>
        <w:divId w:val="152530872"/>
        <w:rPr>
          <w:iCs/>
          <w:sz w:val="28"/>
          <w:szCs w:val="28"/>
        </w:rPr>
      </w:pPr>
      <w:r w:rsidRPr="00946697">
        <w:rPr>
          <w:iCs/>
          <w:sz w:val="28"/>
          <w:szCs w:val="28"/>
          <w:lang w:val="vi-VN"/>
        </w:rPr>
        <w:t>Theo đề nghị của Giám đốc Sở Kế hoạch và Đầu tư</w:t>
      </w:r>
      <w:r w:rsidRPr="00946697">
        <w:rPr>
          <w:iCs/>
          <w:sz w:val="28"/>
          <w:szCs w:val="28"/>
        </w:rPr>
        <w:t>.</w:t>
      </w:r>
    </w:p>
    <w:p w:rsidR="007C7FE7" w:rsidRPr="00946697" w:rsidRDefault="007C7FE7" w:rsidP="007C7FE7">
      <w:pPr>
        <w:spacing w:line="288" w:lineRule="auto"/>
        <w:jc w:val="center"/>
        <w:divId w:val="152530872"/>
        <w:rPr>
          <w:b/>
          <w:sz w:val="20"/>
          <w:szCs w:val="28"/>
        </w:rPr>
      </w:pPr>
    </w:p>
    <w:p w:rsidR="007C7FE7" w:rsidRPr="00065630" w:rsidRDefault="007C7FE7" w:rsidP="007C7FE7">
      <w:pPr>
        <w:spacing w:before="120" w:after="120" w:line="288" w:lineRule="auto"/>
        <w:jc w:val="center"/>
        <w:divId w:val="152530872"/>
        <w:rPr>
          <w:b/>
          <w:sz w:val="28"/>
          <w:szCs w:val="28"/>
        </w:rPr>
      </w:pPr>
      <w:r>
        <w:rPr>
          <w:b/>
          <w:sz w:val="28"/>
          <w:szCs w:val="28"/>
        </w:rPr>
        <w:t>QUYẾT ĐỊNH:</w:t>
      </w:r>
    </w:p>
    <w:p w:rsidR="007C7FE7" w:rsidRPr="00946697" w:rsidRDefault="007C7FE7" w:rsidP="007C7FE7">
      <w:pPr>
        <w:spacing w:before="120" w:after="120" w:line="264" w:lineRule="auto"/>
        <w:ind w:firstLine="720"/>
        <w:jc w:val="both"/>
        <w:divId w:val="152530872"/>
        <w:rPr>
          <w:noProof/>
          <w:sz w:val="28"/>
          <w:szCs w:val="28"/>
        </w:rPr>
      </w:pPr>
      <w:r w:rsidRPr="00946697">
        <w:rPr>
          <w:noProof/>
          <w:sz w:val="28"/>
          <w:szCs w:val="28"/>
        </w:rPr>
        <w:t>Điều 1. B</w:t>
      </w:r>
      <w:r w:rsidRPr="00946697">
        <w:rPr>
          <w:noProof/>
          <w:sz w:val="28"/>
          <w:szCs w:val="28"/>
          <w:lang w:val="vi-VN"/>
        </w:rPr>
        <w:t xml:space="preserve">ổ sung </w:t>
      </w:r>
      <w:r w:rsidRPr="00946697">
        <w:rPr>
          <w:noProof/>
          <w:sz w:val="28"/>
          <w:szCs w:val="28"/>
        </w:rPr>
        <w:t>nội dung tại Khoản 2 Điều 5 của Quy định một số chính sách khuyến khích xã hội hóa đối với các hoạt động trong lĩnh vực giáo dục, dạy nghề, y tế, văn hóa, thể thao, môi trường, giám định tư pháp trên địa bàn thành phố Đà Nẵng ban hành kèm theo Quyết định số 11/2016/QĐ-UBND ngày 22 tháng 3 năm 2016 của UBND thành phố Đà Nẵng:</w:t>
      </w:r>
    </w:p>
    <w:p w:rsidR="007C7FE7" w:rsidRDefault="007C7FE7" w:rsidP="007C7FE7">
      <w:pPr>
        <w:spacing w:before="120" w:after="120" w:line="264" w:lineRule="auto"/>
        <w:ind w:firstLine="720"/>
        <w:jc w:val="both"/>
        <w:divId w:val="152530872"/>
        <w:rPr>
          <w:noProof/>
          <w:sz w:val="28"/>
          <w:szCs w:val="28"/>
        </w:rPr>
      </w:pPr>
      <w:r w:rsidRPr="00AD3B86">
        <w:rPr>
          <w:noProof/>
          <w:sz w:val="28"/>
          <w:szCs w:val="28"/>
        </w:rPr>
        <w:t>B</w:t>
      </w:r>
      <w:r w:rsidRPr="00C62F83">
        <w:rPr>
          <w:noProof/>
          <w:sz w:val="28"/>
          <w:szCs w:val="28"/>
        </w:rPr>
        <w:t xml:space="preserve">ổ sung </w:t>
      </w:r>
      <w:r>
        <w:rPr>
          <w:noProof/>
          <w:sz w:val="28"/>
          <w:szCs w:val="28"/>
        </w:rPr>
        <w:t xml:space="preserve">Điểm d, Khoản 2, </w:t>
      </w:r>
      <w:r w:rsidRPr="00D2729A">
        <w:rPr>
          <w:noProof/>
          <w:sz w:val="28"/>
          <w:szCs w:val="28"/>
        </w:rPr>
        <w:t xml:space="preserve">Điều 5 </w:t>
      </w:r>
      <w:r>
        <w:rPr>
          <w:noProof/>
          <w:sz w:val="28"/>
          <w:szCs w:val="28"/>
        </w:rPr>
        <w:t>như sau:</w:t>
      </w:r>
    </w:p>
    <w:p w:rsidR="007C7FE7" w:rsidRPr="00946697" w:rsidRDefault="007C7FE7" w:rsidP="007C7FE7">
      <w:pPr>
        <w:spacing w:before="120" w:after="120" w:line="264" w:lineRule="auto"/>
        <w:ind w:firstLine="720"/>
        <w:jc w:val="both"/>
        <w:divId w:val="152530872"/>
        <w:rPr>
          <w:sz w:val="28"/>
          <w:szCs w:val="28"/>
        </w:rPr>
      </w:pPr>
      <w:r w:rsidRPr="00946697">
        <w:rPr>
          <w:noProof/>
          <w:sz w:val="28"/>
          <w:szCs w:val="28"/>
        </w:rPr>
        <w:t>“</w:t>
      </w:r>
      <w:r w:rsidRPr="00946697">
        <w:rPr>
          <w:sz w:val="28"/>
          <w:szCs w:val="28"/>
        </w:rPr>
        <w:t>d) Đối với các dự án xã hội hóa trọng điểm cần thu hút đầu tư, vốn đầu tư lớn, khả năng thu hồi vốn chậm thì căn cứ vào tình hình thực tế và từng dự án cụ thể, UBND thành phố sẽ xem xét trình Thường trực Hội đồng nhân dân thành phố thông qua trước khi ban hành mức miễn, giảm tiền thuê đất cho phù hợp.”</w:t>
      </w:r>
    </w:p>
    <w:p w:rsidR="007C7FE7" w:rsidRPr="006D7325" w:rsidRDefault="007C7FE7" w:rsidP="007C7FE7">
      <w:pPr>
        <w:spacing w:before="120" w:after="120" w:line="264" w:lineRule="auto"/>
        <w:ind w:firstLine="720"/>
        <w:jc w:val="both"/>
        <w:divId w:val="152530872"/>
        <w:rPr>
          <w:noProof/>
          <w:sz w:val="28"/>
          <w:szCs w:val="28"/>
          <w:lang w:val="sv-SE"/>
        </w:rPr>
      </w:pPr>
      <w:r w:rsidRPr="006D7325">
        <w:rPr>
          <w:b/>
          <w:noProof/>
          <w:sz w:val="28"/>
          <w:szCs w:val="28"/>
          <w:lang w:val="sv-SE"/>
        </w:rPr>
        <w:t>Điều 2.</w:t>
      </w:r>
      <w:r w:rsidRPr="006D7325">
        <w:rPr>
          <w:noProof/>
          <w:sz w:val="28"/>
          <w:szCs w:val="28"/>
          <w:lang w:val="sv-SE"/>
        </w:rPr>
        <w:t xml:space="preserve"> </w:t>
      </w:r>
      <w:r w:rsidRPr="00E74E62">
        <w:rPr>
          <w:noProof/>
          <w:sz w:val="28"/>
          <w:szCs w:val="28"/>
        </w:rPr>
        <w:t xml:space="preserve">Quyết </w:t>
      </w:r>
      <w:r w:rsidRPr="00E74E62">
        <w:rPr>
          <w:rFonts w:hint="eastAsia"/>
          <w:noProof/>
          <w:sz w:val="28"/>
          <w:szCs w:val="28"/>
        </w:rPr>
        <w:t>đ</w:t>
      </w:r>
      <w:r w:rsidRPr="00E74E62">
        <w:rPr>
          <w:noProof/>
          <w:sz w:val="28"/>
          <w:szCs w:val="28"/>
        </w:rPr>
        <w:t xml:space="preserve">ịnh này có hiệu lực từ ngày </w:t>
      </w:r>
      <w:r>
        <w:rPr>
          <w:noProof/>
          <w:sz w:val="28"/>
          <w:szCs w:val="28"/>
        </w:rPr>
        <w:t>22 tháng 8 năm 2016</w:t>
      </w:r>
      <w:r w:rsidRPr="006D7325">
        <w:rPr>
          <w:noProof/>
          <w:sz w:val="28"/>
          <w:szCs w:val="28"/>
          <w:lang w:val="sv-SE"/>
        </w:rPr>
        <w:t xml:space="preserve">. </w:t>
      </w:r>
    </w:p>
    <w:p w:rsidR="007C7FE7" w:rsidRDefault="007C7FE7" w:rsidP="007C7FE7">
      <w:pPr>
        <w:spacing w:before="120" w:after="120" w:line="264" w:lineRule="auto"/>
        <w:ind w:firstLine="720"/>
        <w:jc w:val="both"/>
        <w:divId w:val="152530872"/>
        <w:rPr>
          <w:noProof/>
          <w:sz w:val="28"/>
          <w:szCs w:val="28"/>
        </w:rPr>
      </w:pPr>
      <w:r w:rsidRPr="00355F61">
        <w:rPr>
          <w:b/>
          <w:noProof/>
          <w:sz w:val="28"/>
          <w:szCs w:val="28"/>
          <w:lang w:val="sv-SE"/>
        </w:rPr>
        <w:t xml:space="preserve">Điều </w:t>
      </w:r>
      <w:r>
        <w:rPr>
          <w:b/>
          <w:noProof/>
          <w:sz w:val="28"/>
          <w:szCs w:val="28"/>
        </w:rPr>
        <w:t>3.</w:t>
      </w:r>
      <w:r>
        <w:rPr>
          <w:noProof/>
          <w:sz w:val="28"/>
          <w:szCs w:val="28"/>
        </w:rPr>
        <w:t xml:space="preserve"> Chánh Văn phòng Uỷ ban nhân dân thành phố; Giám đốc các Sở, Ban, ngành; Cục trưởng Cục Thuế thành phố; Chủ tịch Uỷ ban Nhân dân các quận, huyện và Thủ trưởng các cơ quan liên quan chịu trách nhiệm thi hành Quyết định này./.</w:t>
      </w:r>
    </w:p>
    <w:p w:rsidR="007C7FE7" w:rsidRDefault="007C7FE7" w:rsidP="007C7FE7">
      <w:pPr>
        <w:tabs>
          <w:tab w:val="left" w:pos="5490"/>
        </w:tabs>
        <w:divId w:val="152530872"/>
        <w:rPr>
          <w:sz w:val="2"/>
        </w:rPr>
      </w:pPr>
      <w:r>
        <w:rPr>
          <w:sz w:val="8"/>
        </w:rPr>
        <w:t> </w:t>
      </w:r>
      <w:r>
        <w:rPr>
          <w:sz w:val="8"/>
        </w:rPr>
        <w:tab/>
      </w:r>
    </w:p>
    <w:p w:rsidR="007C7FE7" w:rsidRPr="00065630" w:rsidRDefault="007C7FE7" w:rsidP="007C7FE7">
      <w:pPr>
        <w:divId w:val="152530872"/>
        <w:rPr>
          <w:sz w:val="20"/>
        </w:rPr>
      </w:pPr>
    </w:p>
    <w:tbl>
      <w:tblPr>
        <w:tblW w:w="9368" w:type="dxa"/>
        <w:tblLook w:val="01E0" w:firstRow="1" w:lastRow="1" w:firstColumn="1" w:lastColumn="1" w:noHBand="0" w:noVBand="0"/>
      </w:tblPr>
      <w:tblGrid>
        <w:gridCol w:w="9368"/>
      </w:tblGrid>
      <w:tr w:rsidR="007C7FE7">
        <w:trPr>
          <w:divId w:val="152530872"/>
          <w:trHeight w:val="149"/>
        </w:trPr>
        <w:tc>
          <w:tcPr>
            <w:tcW w:w="9368" w:type="dxa"/>
          </w:tcPr>
          <w:p w:rsidR="007C7FE7" w:rsidRDefault="007C7FE7" w:rsidP="00E65DEA">
            <w:pPr>
              <w:jc w:val="right"/>
              <w:rPr>
                <w:b/>
                <w:sz w:val="28"/>
                <w:szCs w:val="28"/>
              </w:rPr>
            </w:pPr>
            <w:r>
              <w:rPr>
                <w:b/>
                <w:sz w:val="28"/>
                <w:szCs w:val="28"/>
              </w:rPr>
              <w:t xml:space="preserve">     TM. ỦY BAN NHÂN DÂN</w:t>
            </w:r>
          </w:p>
        </w:tc>
      </w:tr>
      <w:tr w:rsidR="007C7FE7">
        <w:trPr>
          <w:divId w:val="152530872"/>
          <w:trHeight w:val="916"/>
        </w:trPr>
        <w:tc>
          <w:tcPr>
            <w:tcW w:w="9368" w:type="dxa"/>
          </w:tcPr>
          <w:p w:rsidR="007C7FE7" w:rsidRDefault="007C7FE7" w:rsidP="00E65DEA">
            <w:pPr>
              <w:jc w:val="center"/>
              <w:rPr>
                <w:b/>
                <w:sz w:val="28"/>
                <w:szCs w:val="28"/>
              </w:rPr>
            </w:pPr>
            <w:r>
              <w:rPr>
                <w:b/>
                <w:sz w:val="28"/>
                <w:szCs w:val="28"/>
              </w:rPr>
              <w:t xml:space="preserve">                                                                                          CHỦ TỊCH</w:t>
            </w:r>
          </w:p>
          <w:p w:rsidR="007C7FE7" w:rsidRDefault="007C7FE7" w:rsidP="00E65DEA">
            <w:pPr>
              <w:jc w:val="center"/>
              <w:rPr>
                <w:b/>
                <w:sz w:val="28"/>
                <w:szCs w:val="28"/>
              </w:rPr>
            </w:pPr>
            <w:r>
              <w:rPr>
                <w:b/>
                <w:sz w:val="28"/>
                <w:szCs w:val="28"/>
              </w:rPr>
              <w:t xml:space="preserve">                                                                                            Huỳnh Đức Thơ</w:t>
            </w:r>
          </w:p>
        </w:tc>
      </w:tr>
    </w:tbl>
    <w:p w:rsidR="007C7FE7" w:rsidRDefault="007C7FE7" w:rsidP="007C7FE7">
      <w:pPr>
        <w:jc w:val="both"/>
        <w:divId w:val="152530872"/>
        <w:rPr>
          <w:sz w:val="28"/>
          <w:szCs w:val="28"/>
        </w:rPr>
      </w:pPr>
    </w:p>
    <w:p w:rsidR="007C7FE7" w:rsidRDefault="007C7FE7" w:rsidP="007C7FE7">
      <w:pPr>
        <w:spacing w:after="200" w:line="276" w:lineRule="auto"/>
        <w:ind w:right="-567"/>
        <w:divId w:val="152530872"/>
        <w:rPr>
          <w:sz w:val="28"/>
          <w:szCs w:val="28"/>
        </w:rPr>
      </w:pPr>
    </w:p>
    <w:p w:rsidR="007C7FE7" w:rsidRPr="007C7FE7" w:rsidRDefault="007C7FE7" w:rsidP="007C7FE7">
      <w:pPr>
        <w:divId w:val="152530872"/>
        <w:rPr>
          <w:szCs w:val="28"/>
        </w:rPr>
      </w:pPr>
    </w:p>
    <w:sectPr w:rsidR="007C7FE7" w:rsidRPr="007C7FE7" w:rsidSect="00946697">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0C2" w:rsidRDefault="001960C2">
      <w:r>
        <w:separator/>
      </w:r>
    </w:p>
  </w:endnote>
  <w:endnote w:type="continuationSeparator" w:id="0">
    <w:p w:rsidR="001960C2" w:rsidRDefault="0019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41" w:rsidRDefault="00471371">
    <w:pPr>
      <w:pStyle w:val="Footer"/>
      <w:framePr w:wrap="around" w:vAnchor="text" w:hAnchor="margin" w:xAlign="right" w:y="1"/>
      <w:rPr>
        <w:rStyle w:val="PageNumber"/>
      </w:rPr>
    </w:pPr>
    <w:r>
      <w:rPr>
        <w:rStyle w:val="PageNumber"/>
      </w:rPr>
      <w:fldChar w:fldCharType="begin"/>
    </w:r>
    <w:r w:rsidR="00FB0BED">
      <w:rPr>
        <w:rStyle w:val="PageNumber"/>
      </w:rPr>
      <w:instrText xml:space="preserve">PAGE  </w:instrText>
    </w:r>
    <w:r>
      <w:rPr>
        <w:rStyle w:val="PageNumber"/>
      </w:rPr>
      <w:fldChar w:fldCharType="separate"/>
    </w:r>
    <w:r w:rsidR="00FB0BED">
      <w:rPr>
        <w:rStyle w:val="PageNumber"/>
        <w:noProof/>
      </w:rPr>
      <w:t>2</w:t>
    </w:r>
    <w:r>
      <w:rPr>
        <w:rStyle w:val="PageNumber"/>
      </w:rPr>
      <w:fldChar w:fldCharType="end"/>
    </w:r>
  </w:p>
  <w:p w:rsidR="00627841" w:rsidRDefault="00627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41" w:rsidRDefault="00627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0C2" w:rsidRDefault="001960C2">
      <w:r>
        <w:separator/>
      </w:r>
    </w:p>
  </w:footnote>
  <w:footnote w:type="continuationSeparator" w:id="0">
    <w:p w:rsidR="001960C2" w:rsidRDefault="00196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87A784C"/>
    <w:lvl w:ilvl="0">
      <w:start w:val="1"/>
      <w:numFmt w:val="decimal"/>
      <w:lvlText w:val="%1."/>
      <w:lvlJc w:val="left"/>
      <w:pPr>
        <w:tabs>
          <w:tab w:val="num" w:pos="1440"/>
        </w:tabs>
        <w:ind w:left="1440" w:hanging="360"/>
      </w:pPr>
    </w:lvl>
  </w:abstractNum>
  <w:abstractNum w:abstractNumId="1" w15:restartNumberingAfterBreak="0">
    <w:nsid w:val="469C06D1"/>
    <w:multiLevelType w:val="hybridMultilevel"/>
    <w:tmpl w:val="90FCB39E"/>
    <w:lvl w:ilvl="0" w:tplc="FFFFFFFF">
      <w:start w:val="1"/>
      <w:numFmt w:val="decimal"/>
      <w:pStyle w:val="ListNumber4"/>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F1"/>
    <w:rsid w:val="0000710C"/>
    <w:rsid w:val="00007791"/>
    <w:rsid w:val="00027836"/>
    <w:rsid w:val="00041121"/>
    <w:rsid w:val="00052C5C"/>
    <w:rsid w:val="00065630"/>
    <w:rsid w:val="00071F36"/>
    <w:rsid w:val="00072280"/>
    <w:rsid w:val="00081ABC"/>
    <w:rsid w:val="00083FC2"/>
    <w:rsid w:val="00094C75"/>
    <w:rsid w:val="00096D14"/>
    <w:rsid w:val="00096F4B"/>
    <w:rsid w:val="000C13B5"/>
    <w:rsid w:val="000C1A71"/>
    <w:rsid w:val="000C1AD2"/>
    <w:rsid w:val="000D12F3"/>
    <w:rsid w:val="000D19BE"/>
    <w:rsid w:val="000D2666"/>
    <w:rsid w:val="000D60CE"/>
    <w:rsid w:val="000E5D8D"/>
    <w:rsid w:val="000E6B1C"/>
    <w:rsid w:val="000E7FC7"/>
    <w:rsid w:val="000F2C57"/>
    <w:rsid w:val="00167278"/>
    <w:rsid w:val="00172377"/>
    <w:rsid w:val="001840FC"/>
    <w:rsid w:val="001864CA"/>
    <w:rsid w:val="0019037B"/>
    <w:rsid w:val="001960C2"/>
    <w:rsid w:val="001C5FBD"/>
    <w:rsid w:val="001D3BCC"/>
    <w:rsid w:val="001D6FC2"/>
    <w:rsid w:val="001D7B1D"/>
    <w:rsid w:val="001E3FCF"/>
    <w:rsid w:val="001F0467"/>
    <w:rsid w:val="0021535E"/>
    <w:rsid w:val="00223867"/>
    <w:rsid w:val="002420A5"/>
    <w:rsid w:val="0028159B"/>
    <w:rsid w:val="002B2AA9"/>
    <w:rsid w:val="002C0519"/>
    <w:rsid w:val="00300E06"/>
    <w:rsid w:val="00323CC1"/>
    <w:rsid w:val="003256F3"/>
    <w:rsid w:val="00340886"/>
    <w:rsid w:val="003421D4"/>
    <w:rsid w:val="00353FC6"/>
    <w:rsid w:val="00355F61"/>
    <w:rsid w:val="00362FE8"/>
    <w:rsid w:val="003674C4"/>
    <w:rsid w:val="00385DBC"/>
    <w:rsid w:val="003B5D66"/>
    <w:rsid w:val="003D6B35"/>
    <w:rsid w:val="00403A53"/>
    <w:rsid w:val="00423FEA"/>
    <w:rsid w:val="00471371"/>
    <w:rsid w:val="00476CCA"/>
    <w:rsid w:val="00486419"/>
    <w:rsid w:val="00492B11"/>
    <w:rsid w:val="004D26D6"/>
    <w:rsid w:val="004D2F63"/>
    <w:rsid w:val="004D36AC"/>
    <w:rsid w:val="004E14FB"/>
    <w:rsid w:val="004E6C7B"/>
    <w:rsid w:val="005A0DA3"/>
    <w:rsid w:val="005A6453"/>
    <w:rsid w:val="005B4418"/>
    <w:rsid w:val="005D7418"/>
    <w:rsid w:val="005E1229"/>
    <w:rsid w:val="005F1FBF"/>
    <w:rsid w:val="00627841"/>
    <w:rsid w:val="006376F7"/>
    <w:rsid w:val="00656392"/>
    <w:rsid w:val="006603EE"/>
    <w:rsid w:val="00665CD1"/>
    <w:rsid w:val="00690303"/>
    <w:rsid w:val="006A5CB5"/>
    <w:rsid w:val="006B5217"/>
    <w:rsid w:val="006D7325"/>
    <w:rsid w:val="006F50B3"/>
    <w:rsid w:val="006F52E9"/>
    <w:rsid w:val="00730C8C"/>
    <w:rsid w:val="00752A0E"/>
    <w:rsid w:val="00760BE1"/>
    <w:rsid w:val="00772222"/>
    <w:rsid w:val="0078525B"/>
    <w:rsid w:val="007A691E"/>
    <w:rsid w:val="007C7FE7"/>
    <w:rsid w:val="007D2301"/>
    <w:rsid w:val="007E3647"/>
    <w:rsid w:val="008128E5"/>
    <w:rsid w:val="008145EB"/>
    <w:rsid w:val="00834D80"/>
    <w:rsid w:val="008355D7"/>
    <w:rsid w:val="00866816"/>
    <w:rsid w:val="008706CF"/>
    <w:rsid w:val="0087139D"/>
    <w:rsid w:val="008A36BA"/>
    <w:rsid w:val="008A5A73"/>
    <w:rsid w:val="008C2CB5"/>
    <w:rsid w:val="008D2B24"/>
    <w:rsid w:val="008D5406"/>
    <w:rsid w:val="008F300F"/>
    <w:rsid w:val="008F5546"/>
    <w:rsid w:val="00901752"/>
    <w:rsid w:val="00907496"/>
    <w:rsid w:val="009151C8"/>
    <w:rsid w:val="00934F3E"/>
    <w:rsid w:val="0093642A"/>
    <w:rsid w:val="00946697"/>
    <w:rsid w:val="00963BDE"/>
    <w:rsid w:val="00973BDF"/>
    <w:rsid w:val="00995D44"/>
    <w:rsid w:val="009A0FF4"/>
    <w:rsid w:val="009A3FC4"/>
    <w:rsid w:val="009D2790"/>
    <w:rsid w:val="009E0050"/>
    <w:rsid w:val="009E158E"/>
    <w:rsid w:val="009E728B"/>
    <w:rsid w:val="00A13160"/>
    <w:rsid w:val="00A1346A"/>
    <w:rsid w:val="00A1580E"/>
    <w:rsid w:val="00A21121"/>
    <w:rsid w:val="00A60ACF"/>
    <w:rsid w:val="00A74DE1"/>
    <w:rsid w:val="00A75811"/>
    <w:rsid w:val="00A9494B"/>
    <w:rsid w:val="00AA4216"/>
    <w:rsid w:val="00AD082F"/>
    <w:rsid w:val="00AD3B86"/>
    <w:rsid w:val="00AE0133"/>
    <w:rsid w:val="00B33103"/>
    <w:rsid w:val="00B4028D"/>
    <w:rsid w:val="00B443BC"/>
    <w:rsid w:val="00B52FC0"/>
    <w:rsid w:val="00B55AE1"/>
    <w:rsid w:val="00B70631"/>
    <w:rsid w:val="00B92E47"/>
    <w:rsid w:val="00B96F37"/>
    <w:rsid w:val="00BD5553"/>
    <w:rsid w:val="00BE682E"/>
    <w:rsid w:val="00BF2762"/>
    <w:rsid w:val="00C1556A"/>
    <w:rsid w:val="00C431FC"/>
    <w:rsid w:val="00C51B84"/>
    <w:rsid w:val="00C552F1"/>
    <w:rsid w:val="00C62F83"/>
    <w:rsid w:val="00C700D4"/>
    <w:rsid w:val="00C8442C"/>
    <w:rsid w:val="00CA1940"/>
    <w:rsid w:val="00CB7975"/>
    <w:rsid w:val="00CD1AE1"/>
    <w:rsid w:val="00CE1E9C"/>
    <w:rsid w:val="00CE6938"/>
    <w:rsid w:val="00CF01CE"/>
    <w:rsid w:val="00CF3365"/>
    <w:rsid w:val="00D11BC3"/>
    <w:rsid w:val="00D2729A"/>
    <w:rsid w:val="00D27367"/>
    <w:rsid w:val="00D30CD7"/>
    <w:rsid w:val="00D31711"/>
    <w:rsid w:val="00D329DC"/>
    <w:rsid w:val="00D4073A"/>
    <w:rsid w:val="00D71BB3"/>
    <w:rsid w:val="00D87C9B"/>
    <w:rsid w:val="00D95E74"/>
    <w:rsid w:val="00DB2340"/>
    <w:rsid w:val="00DC1F6A"/>
    <w:rsid w:val="00DC5D7C"/>
    <w:rsid w:val="00DD65CF"/>
    <w:rsid w:val="00DE7E6F"/>
    <w:rsid w:val="00DF0A91"/>
    <w:rsid w:val="00E104C6"/>
    <w:rsid w:val="00E211CA"/>
    <w:rsid w:val="00E40F2B"/>
    <w:rsid w:val="00E50627"/>
    <w:rsid w:val="00E64A49"/>
    <w:rsid w:val="00E65DEA"/>
    <w:rsid w:val="00E67326"/>
    <w:rsid w:val="00E74E62"/>
    <w:rsid w:val="00EB5949"/>
    <w:rsid w:val="00EB6B0E"/>
    <w:rsid w:val="00EC4B74"/>
    <w:rsid w:val="00EF3984"/>
    <w:rsid w:val="00EF6DFF"/>
    <w:rsid w:val="00EF7DB9"/>
    <w:rsid w:val="00F057D4"/>
    <w:rsid w:val="00F43DD7"/>
    <w:rsid w:val="00F52EA6"/>
    <w:rsid w:val="00F56A5E"/>
    <w:rsid w:val="00F66A39"/>
    <w:rsid w:val="00F76B49"/>
    <w:rsid w:val="00F82D52"/>
    <w:rsid w:val="00F839C2"/>
    <w:rsid w:val="00FB0BED"/>
    <w:rsid w:val="00FB2E34"/>
    <w:rsid w:val="00FB36A7"/>
    <w:rsid w:val="00FB79E7"/>
    <w:rsid w:val="00FD1133"/>
    <w:rsid w:val="00FE1105"/>
    <w:rsid w:val="00FE450E"/>
    <w:rsid w:val="00FF0ED4"/>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5DDEB37-78EB-4BCD-9422-9E2097DE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4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7841"/>
    <w:pPr>
      <w:spacing w:before="100" w:beforeAutospacing="1" w:after="100" w:afterAutospacing="1"/>
    </w:pPr>
  </w:style>
  <w:style w:type="paragraph" w:styleId="Header">
    <w:name w:val="header"/>
    <w:basedOn w:val="Normal"/>
    <w:link w:val="HeaderChar"/>
    <w:rsid w:val="00627841"/>
    <w:pPr>
      <w:tabs>
        <w:tab w:val="center" w:pos="4320"/>
        <w:tab w:val="right" w:pos="8640"/>
      </w:tabs>
    </w:pPr>
    <w:rPr>
      <w:lang w:val="x-none" w:eastAsia="x-none"/>
    </w:rPr>
  </w:style>
  <w:style w:type="character" w:customStyle="1" w:styleId="HeaderChar">
    <w:name w:val="Header Char"/>
    <w:link w:val="Header"/>
    <w:locked/>
    <w:rsid w:val="00627841"/>
    <w:rPr>
      <w:sz w:val="24"/>
      <w:szCs w:val="24"/>
    </w:rPr>
  </w:style>
  <w:style w:type="paragraph" w:styleId="Footer">
    <w:name w:val="footer"/>
    <w:basedOn w:val="Normal"/>
    <w:link w:val="FooterChar"/>
    <w:uiPriority w:val="99"/>
    <w:rsid w:val="00627841"/>
    <w:pPr>
      <w:tabs>
        <w:tab w:val="center" w:pos="4320"/>
        <w:tab w:val="right" w:pos="8640"/>
      </w:tabs>
    </w:pPr>
    <w:rPr>
      <w:lang w:val="x-none" w:eastAsia="x-none"/>
    </w:rPr>
  </w:style>
  <w:style w:type="character" w:customStyle="1" w:styleId="FooterChar">
    <w:name w:val="Footer Char"/>
    <w:link w:val="Footer"/>
    <w:uiPriority w:val="99"/>
    <w:locked/>
    <w:rsid w:val="00627841"/>
    <w:rPr>
      <w:sz w:val="24"/>
      <w:szCs w:val="24"/>
    </w:rPr>
  </w:style>
  <w:style w:type="paragraph" w:styleId="EndnoteText">
    <w:name w:val="endnote text"/>
    <w:basedOn w:val="Normal"/>
    <w:link w:val="EndnoteTextChar"/>
    <w:rsid w:val="00627841"/>
    <w:rPr>
      <w:sz w:val="20"/>
      <w:szCs w:val="20"/>
    </w:rPr>
  </w:style>
  <w:style w:type="character" w:customStyle="1" w:styleId="EndnoteTextChar">
    <w:name w:val="Endnote Text Char"/>
    <w:basedOn w:val="DefaultParagraphFont"/>
    <w:link w:val="EndnoteText"/>
    <w:locked/>
    <w:rsid w:val="00627841"/>
  </w:style>
  <w:style w:type="paragraph" w:styleId="ListNumber4">
    <w:name w:val="List Number 4"/>
    <w:basedOn w:val="Normal"/>
    <w:rsid w:val="00627841"/>
    <w:pPr>
      <w:numPr>
        <w:numId w:val="3"/>
      </w:numPr>
    </w:pPr>
    <w:rPr>
      <w:sz w:val="28"/>
      <w:szCs w:val="20"/>
    </w:rPr>
  </w:style>
  <w:style w:type="paragraph" w:styleId="BodyText">
    <w:name w:val="Body Text"/>
    <w:basedOn w:val="Normal"/>
    <w:link w:val="BodyTextChar"/>
    <w:rsid w:val="00627841"/>
    <w:pPr>
      <w:spacing w:before="100" w:beforeAutospacing="1" w:after="100" w:afterAutospacing="1"/>
    </w:pPr>
    <w:rPr>
      <w:lang w:val="x-none" w:eastAsia="x-none"/>
    </w:rPr>
  </w:style>
  <w:style w:type="character" w:customStyle="1" w:styleId="BodyTextChar">
    <w:name w:val="Body Text Char"/>
    <w:link w:val="BodyText"/>
    <w:locked/>
    <w:rsid w:val="00627841"/>
    <w:rPr>
      <w:sz w:val="24"/>
      <w:szCs w:val="24"/>
    </w:rPr>
  </w:style>
  <w:style w:type="paragraph" w:styleId="BodyTextIndent2">
    <w:name w:val="Body Text Indent 2"/>
    <w:basedOn w:val="Normal"/>
    <w:link w:val="BodyTextIndent2Char"/>
    <w:rsid w:val="00627841"/>
    <w:pPr>
      <w:ind w:firstLine="720"/>
      <w:jc w:val="both"/>
    </w:pPr>
    <w:rPr>
      <w:sz w:val="28"/>
      <w:szCs w:val="28"/>
    </w:rPr>
  </w:style>
  <w:style w:type="character" w:customStyle="1" w:styleId="BodyTextIndent2Char">
    <w:name w:val="Body Text Indent 2 Char"/>
    <w:link w:val="BodyTextIndent2"/>
    <w:semiHidden/>
    <w:locked/>
    <w:rsid w:val="00627841"/>
    <w:rPr>
      <w:sz w:val="28"/>
      <w:szCs w:val="28"/>
      <w:lang w:val="en-US" w:eastAsia="en-US" w:bidi="ar-SA"/>
    </w:rPr>
  </w:style>
  <w:style w:type="paragraph" w:styleId="ListParagraph">
    <w:name w:val="List Paragraph"/>
    <w:basedOn w:val="Normal"/>
    <w:uiPriority w:val="34"/>
    <w:qFormat/>
    <w:rsid w:val="00627841"/>
    <w:pPr>
      <w:ind w:left="720"/>
      <w:contextualSpacing/>
    </w:pPr>
  </w:style>
  <w:style w:type="character" w:styleId="EndnoteReference">
    <w:name w:val="endnote reference"/>
    <w:rsid w:val="00627841"/>
    <w:rPr>
      <w:vertAlign w:val="superscript"/>
    </w:rPr>
  </w:style>
  <w:style w:type="character" w:styleId="PageNumber">
    <w:name w:val="page number"/>
    <w:basedOn w:val="DefaultParagraphFont"/>
    <w:uiPriority w:val="99"/>
    <w:unhideWhenUsed/>
    <w:rsid w:val="00627841"/>
  </w:style>
  <w:style w:type="paragraph" w:customStyle="1" w:styleId="CharCharCharCharCharCharCharCharCharCharCharChar">
    <w:name w:val=" Char Char Char Char Char Char Char Char Char Char Char Char"/>
    <w:basedOn w:val="Normal"/>
    <w:rsid w:val="00486419"/>
    <w:pPr>
      <w:spacing w:after="160" w:line="240" w:lineRule="exact"/>
    </w:pPr>
    <w:rPr>
      <w:rFonts w:ascii="Verdana" w:hAnsi="Verdana" w:cs="Angsana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918">
      <w:marLeft w:val="0"/>
      <w:marRight w:val="0"/>
      <w:marTop w:val="0"/>
      <w:marBottom w:val="0"/>
      <w:divBdr>
        <w:top w:val="none" w:sz="0" w:space="0" w:color="auto"/>
        <w:left w:val="none" w:sz="0" w:space="0" w:color="auto"/>
        <w:bottom w:val="none" w:sz="0" w:space="0" w:color="auto"/>
        <w:right w:val="none" w:sz="0" w:space="0" w:color="auto"/>
      </w:divBdr>
      <w:divsChild>
        <w:div w:id="1525308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may</dc:creator>
  <cp:keywords/>
  <cp:lastModifiedBy>Truong Cong Nguyen Thanh</cp:lastModifiedBy>
  <cp:revision>3</cp:revision>
  <cp:lastPrinted>2016-08-11T07:20:00Z</cp:lastPrinted>
  <dcterms:created xsi:type="dcterms:W3CDTF">2021-04-15T08:51:00Z</dcterms:created>
  <dcterms:modified xsi:type="dcterms:W3CDTF">2021-04-15T08:52:00Z</dcterms:modified>
</cp:coreProperties>
</file>