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93" w:type="dxa"/>
        <w:tblLook w:val="0000" w:firstRow="0" w:lastRow="0" w:firstColumn="0" w:lastColumn="0" w:noHBand="0" w:noVBand="0"/>
      </w:tblPr>
      <w:tblGrid>
        <w:gridCol w:w="880"/>
        <w:gridCol w:w="5560"/>
        <w:gridCol w:w="1120"/>
        <w:gridCol w:w="2240"/>
      </w:tblGrid>
      <w:tr w:rsidR="0081765B" w:rsidRPr="0081765B">
        <w:trPr>
          <w:trHeight w:val="37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81765B">
              <w:rPr>
                <w:b/>
                <w:bCs/>
                <w:color w:val="000000"/>
              </w:rPr>
              <w:t xml:space="preserve">Phụ lục </w:t>
            </w:r>
          </w:p>
        </w:tc>
      </w:tr>
      <w:tr w:rsidR="0081765B" w:rsidRPr="0081765B">
        <w:trPr>
          <w:trHeight w:val="37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MỨC PHÍ BẢO VỆ MÔI TRƯỜNG ĐỐI VỚI KHAI THÁC KHOÁNG SẢN</w:t>
            </w:r>
          </w:p>
        </w:tc>
      </w:tr>
      <w:tr w:rsidR="0081765B" w:rsidRPr="0081765B">
        <w:trPr>
          <w:trHeight w:val="102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i/>
                <w:iCs/>
                <w:color w:val="000000"/>
              </w:rPr>
            </w:pPr>
            <w:r w:rsidRPr="0081765B">
              <w:rPr>
                <w:i/>
                <w:iCs/>
                <w:color w:val="000000"/>
              </w:rPr>
              <w:t>(Kèm theo Nghị quyết số</w:t>
            </w:r>
            <w:r>
              <w:rPr>
                <w:i/>
                <w:iCs/>
                <w:color w:val="000000"/>
              </w:rPr>
              <w:t xml:space="preserve"> 22</w:t>
            </w:r>
            <w:r w:rsidRPr="0081765B">
              <w:rPr>
                <w:i/>
                <w:iCs/>
                <w:color w:val="000000"/>
              </w:rPr>
              <w:t xml:space="preserve"> /2016 /NQ-HĐND ngày </w:t>
            </w:r>
            <w:r>
              <w:rPr>
                <w:i/>
                <w:iCs/>
                <w:color w:val="000000"/>
              </w:rPr>
              <w:t xml:space="preserve">11 </w:t>
            </w:r>
            <w:r w:rsidRPr="0081765B">
              <w:rPr>
                <w:i/>
                <w:iCs/>
                <w:color w:val="000000"/>
              </w:rPr>
              <w:t>tháng 8 năm 2016 của                 HĐND thành phố)</w:t>
            </w:r>
          </w:p>
        </w:tc>
      </w:tr>
      <w:tr w:rsidR="0081765B" w:rsidRPr="0081765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81765B">
              <w:rPr>
                <w:i/>
                <w:iCs/>
                <w:color w:val="000000"/>
                <w:sz w:val="26"/>
                <w:szCs w:val="26"/>
              </w:rPr>
              <w:t>ĐVT: Đồng</w:t>
            </w:r>
          </w:p>
        </w:tc>
      </w:tr>
      <w:tr w:rsidR="0081765B" w:rsidRPr="0081765B">
        <w:trPr>
          <w:trHeight w:val="51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STT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Loại khoáng sản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Đơn vị tính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 xml:space="preserve">Mức phí </w:t>
            </w:r>
          </w:p>
        </w:tc>
      </w:tr>
      <w:tr w:rsidR="0081765B" w:rsidRPr="0081765B">
        <w:trPr>
          <w:trHeight w:val="40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65B" w:rsidRPr="0081765B" w:rsidRDefault="0081765B" w:rsidP="0081765B">
            <w:pPr>
              <w:rPr>
                <w:b/>
                <w:bCs/>
                <w:color w:val="000000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65B" w:rsidRPr="0081765B" w:rsidRDefault="0081765B" w:rsidP="0081765B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65B" w:rsidRPr="0081765B" w:rsidRDefault="0081765B" w:rsidP="0081765B">
            <w:pPr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65B" w:rsidRPr="0081765B" w:rsidRDefault="0081765B" w:rsidP="0081765B">
            <w:pPr>
              <w:rPr>
                <w:b/>
                <w:bCs/>
                <w:color w:val="000000"/>
              </w:rPr>
            </w:pPr>
          </w:p>
        </w:tc>
      </w:tr>
      <w:tr w:rsidR="0081765B" w:rsidRPr="0081765B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QUẶNG KHOÁNG SẢN KIM LOẠI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 </w:t>
            </w:r>
          </w:p>
        </w:tc>
      </w:tr>
      <w:tr w:rsidR="0081765B" w:rsidRPr="0081765B">
        <w:trPr>
          <w:trHeight w:val="3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sắt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2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mangan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50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1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titan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vàng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270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đất hiếm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bạch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270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bạc, quặng thiếc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270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1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wolfram, antimoan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50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chì, quặng kẽm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270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bôxit, Quặng nhôm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2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đồng, quặng niken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1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cromit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coban, Quặng molipden, quặng thủy ngân, quặng magie, Quặng vandi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270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khoáng sản kim loại khác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II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rPr>
                <w:b/>
                <w:bCs/>
                <w:color w:val="000000"/>
              </w:rPr>
            </w:pPr>
            <w:r w:rsidRPr="0081765B">
              <w:rPr>
                <w:b/>
                <w:bCs/>
                <w:color w:val="000000"/>
              </w:rPr>
              <w:t>KHOÁNG SẢN KHÔNG KIM LOẠI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</w:p>
        </w:tc>
      </w:tr>
      <w:tr w:rsidR="0081765B" w:rsidRPr="0081765B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Đá ốp lát, làm mỹ nghệ (granit, gabro,</w:t>
            </w:r>
            <w:r w:rsidRPr="0081765B">
              <w:rPr>
                <w:color w:val="000000"/>
              </w:rPr>
              <w:br/>
              <w:t xml:space="preserve"> đá hoa, bazan)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Đá Block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90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Quặng đá quý: Kim cương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 xml:space="preserve"> rubi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 xml:space="preserve"> sapphire, emerald, alexandrite, opan quý  màu đen, adit, rodolite, pyrope, berin, spinen, topaz, thạch anh tinh thể màu tím xanh, vàng lục, da cam, cryolite, opan quý màu trắng, đỏ lửa, birusa, nefrite.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Sỏi</w:t>
            </w:r>
            <w:r>
              <w:rPr>
                <w:color w:val="000000"/>
              </w:rPr>
              <w:t>,</w:t>
            </w:r>
            <w:r w:rsidRPr="0081765B">
              <w:rPr>
                <w:color w:val="000000"/>
              </w:rPr>
              <w:t xml:space="preserve"> cuội, sạn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Đá làm vật liệu xây dựng thông thường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15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lastRenderedPageBreak/>
              <w:t>06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Đá vôi, đá sét làm xi măng và các loại đá làm phụ gia xi măng (laterit, puzolan…); khoáng chất công nghiệp (barit, flourit, bentonit và các loại khoáng chất khác)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3,000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Cát vàng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Cát trắng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Các loại cát khác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 xml:space="preserve">Đất khai thác để san lấp, xây dựng </w:t>
            </w:r>
            <w:r w:rsidRPr="0081765B">
              <w:rPr>
                <w:color w:val="000000"/>
              </w:rPr>
              <w:br/>
              <w:t>công trình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Sét làm gạch, ngói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Thạch cao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Cao lanh, fenspat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Các loại đất khác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Granite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Sét chịu lửa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Dolomite, quartzite, talc, diatomit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Mica, thạch anh kỷ thuật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Pirite, phosphorite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30,000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Nước khoáng thiên nhiên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m</w:t>
            </w:r>
            <w:r w:rsidRPr="008176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Apatit, secpentin, graphit, sericit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Than các loại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Khoáng sản không kim loại khác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tấn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Pr="0081765B">
              <w:rPr>
                <w:color w:val="000000"/>
              </w:rPr>
              <w:t>000</w:t>
            </w:r>
          </w:p>
        </w:tc>
      </w:tr>
      <w:tr w:rsidR="0081765B" w:rsidRPr="0081765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rPr>
                <w:color w:val="000000"/>
              </w:rPr>
            </w:pPr>
            <w:r w:rsidRPr="0081765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  <w:r w:rsidRPr="0081765B">
              <w:rPr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B" w:rsidRPr="0081765B" w:rsidRDefault="0081765B" w:rsidP="0081765B">
            <w:pPr>
              <w:jc w:val="center"/>
              <w:rPr>
                <w:color w:val="000000"/>
              </w:rPr>
            </w:pPr>
          </w:p>
        </w:tc>
      </w:tr>
    </w:tbl>
    <w:p w:rsidR="00890B0F" w:rsidRDefault="00890B0F"/>
    <w:sectPr w:rsidR="00890B0F" w:rsidSect="0081765B">
      <w:pgSz w:w="11907" w:h="16840" w:code="9"/>
      <w:pgMar w:top="1474" w:right="113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5B"/>
    <w:rsid w:val="00472A3E"/>
    <w:rsid w:val="0081765B"/>
    <w:rsid w:val="00890B0F"/>
    <w:rsid w:val="00B1666F"/>
    <w:rsid w:val="00C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FF546-7906-4A5A-B941-96ACB8A5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</vt:lpstr>
    </vt:vector>
  </TitlesOfParts>
  <Company>HOME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User</dc:creator>
  <cp:keywords/>
  <dc:description/>
  <cp:lastModifiedBy>Truong Cong Nguyen Thanh</cp:lastModifiedBy>
  <cp:revision>2</cp:revision>
  <dcterms:created xsi:type="dcterms:W3CDTF">2021-04-15T08:40:00Z</dcterms:created>
  <dcterms:modified xsi:type="dcterms:W3CDTF">2021-04-15T08:40:00Z</dcterms:modified>
</cp:coreProperties>
</file>