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375"/>
        <w:tblW w:w="9288" w:type="dxa"/>
        <w:tblLook w:val="0000" w:firstRow="0" w:lastRow="0" w:firstColumn="0" w:lastColumn="0" w:noHBand="0" w:noVBand="0"/>
      </w:tblPr>
      <w:tblGrid>
        <w:gridCol w:w="3348"/>
        <w:gridCol w:w="5940"/>
      </w:tblGrid>
      <w:tr w:rsidR="009F0453" w:rsidRPr="00F37111" w:rsidTr="00631195">
        <w:tblPrEx>
          <w:tblCellMar>
            <w:top w:w="0" w:type="dxa"/>
            <w:bottom w:w="0" w:type="dxa"/>
          </w:tblCellMar>
        </w:tblPrEx>
        <w:tc>
          <w:tcPr>
            <w:tcW w:w="3348" w:type="dxa"/>
          </w:tcPr>
          <w:p w:rsidR="009F0453" w:rsidRPr="00F37111" w:rsidRDefault="009F0453" w:rsidP="00631195">
            <w:pPr>
              <w:jc w:val="center"/>
              <w:rPr>
                <w:b/>
                <w:sz w:val="26"/>
                <w:szCs w:val="26"/>
              </w:rPr>
            </w:pPr>
            <w:r w:rsidRPr="00F37111">
              <w:rPr>
                <w:b/>
                <w:sz w:val="26"/>
                <w:szCs w:val="26"/>
              </w:rPr>
              <w:t>UỶ BAN NHÂN DÂN</w:t>
            </w:r>
          </w:p>
          <w:p w:rsidR="009F0453" w:rsidRPr="00F37111" w:rsidRDefault="009F0453" w:rsidP="00631195">
            <w:pPr>
              <w:jc w:val="center"/>
              <w:rPr>
                <w:b/>
                <w:sz w:val="26"/>
                <w:szCs w:val="26"/>
              </w:rPr>
            </w:pPr>
            <w:r w:rsidRPr="00F37111">
              <w:rPr>
                <w:b/>
                <w:sz w:val="26"/>
                <w:szCs w:val="26"/>
              </w:rPr>
              <w:t>THÀNH PHỐ ĐÀ NẴNG</w:t>
            </w:r>
          </w:p>
          <w:p w:rsidR="009F0453" w:rsidRPr="00F37111" w:rsidRDefault="001B338F" w:rsidP="00631195">
            <w:pPr>
              <w:ind w:firstLine="709"/>
              <w:jc w:val="center"/>
              <w:rPr>
                <w:sz w:val="26"/>
                <w:szCs w:val="26"/>
              </w:rPr>
            </w:pPr>
            <w:r w:rsidRPr="00F37111">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415290</wp:posOffset>
                      </wp:positionH>
                      <wp:positionV relativeFrom="paragraph">
                        <wp:posOffset>77470</wp:posOffset>
                      </wp:positionV>
                      <wp:extent cx="1143000" cy="0"/>
                      <wp:effectExtent l="9525" t="5715" r="952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D028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6.1pt" to="122.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ZR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"/>
                  </w:pict>
                </mc:Fallback>
              </mc:AlternateContent>
            </w:r>
          </w:p>
          <w:p w:rsidR="009F0453" w:rsidRPr="00F37111" w:rsidRDefault="009F0453" w:rsidP="00631195">
            <w:pPr>
              <w:pStyle w:val="Heading4"/>
              <w:rPr>
                <w:sz w:val="26"/>
                <w:szCs w:val="26"/>
              </w:rPr>
            </w:pPr>
            <w:r w:rsidRPr="00F37111">
              <w:rPr>
                <w:sz w:val="26"/>
                <w:szCs w:val="26"/>
              </w:rPr>
              <w:t xml:space="preserve">Số:   </w:t>
            </w:r>
            <w:r w:rsidR="004721FD">
              <w:rPr>
                <w:sz w:val="26"/>
                <w:szCs w:val="26"/>
              </w:rPr>
              <w:t xml:space="preserve">4279 </w:t>
            </w:r>
            <w:r w:rsidRPr="00F37111">
              <w:rPr>
                <w:sz w:val="26"/>
                <w:szCs w:val="26"/>
              </w:rPr>
              <w:t xml:space="preserve">  /QĐ-UBND</w:t>
            </w:r>
          </w:p>
        </w:tc>
        <w:tc>
          <w:tcPr>
            <w:tcW w:w="5940" w:type="dxa"/>
          </w:tcPr>
          <w:p w:rsidR="009F0453" w:rsidRPr="00F37111" w:rsidRDefault="009F0453" w:rsidP="00631195">
            <w:pPr>
              <w:jc w:val="center"/>
              <w:rPr>
                <w:b/>
                <w:sz w:val="26"/>
                <w:szCs w:val="26"/>
              </w:rPr>
            </w:pPr>
            <w:r w:rsidRPr="00F37111">
              <w:rPr>
                <w:b/>
                <w:sz w:val="26"/>
                <w:szCs w:val="26"/>
              </w:rPr>
              <w:t xml:space="preserve">CỘNG HOÀ XÃ HỘI CHỦ NGHĨA VIỆT </w:t>
            </w:r>
            <w:smartTag w:uri="urn:schemas-microsoft-com:office:smarttags" w:element="place">
              <w:smartTag w:uri="urn:schemas-microsoft-com:office:smarttags" w:element="country-region">
                <w:r w:rsidRPr="00F37111">
                  <w:rPr>
                    <w:b/>
                    <w:sz w:val="26"/>
                    <w:szCs w:val="26"/>
                  </w:rPr>
                  <w:t>NAM</w:t>
                </w:r>
              </w:smartTag>
            </w:smartTag>
          </w:p>
          <w:p w:rsidR="009F0453" w:rsidRPr="00F37111" w:rsidRDefault="009F0453" w:rsidP="00631195">
            <w:pPr>
              <w:pStyle w:val="Heading1"/>
              <w:jc w:val="center"/>
              <w:rPr>
                <w:sz w:val="28"/>
                <w:szCs w:val="28"/>
              </w:rPr>
            </w:pPr>
            <w:r w:rsidRPr="00F37111">
              <w:rPr>
                <w:sz w:val="28"/>
                <w:szCs w:val="28"/>
              </w:rPr>
              <w:t>Độc lập - Tự do - Hạnh phúc</w:t>
            </w:r>
          </w:p>
          <w:p w:rsidR="009F0453" w:rsidRPr="00F37111" w:rsidRDefault="001B338F" w:rsidP="00631195">
            <w:pPr>
              <w:pStyle w:val="Heading2"/>
              <w:ind w:firstLine="709"/>
              <w:rPr>
                <w:sz w:val="26"/>
                <w:szCs w:val="26"/>
              </w:rPr>
            </w:pPr>
            <w:r w:rsidRPr="00F37111">
              <w:rPr>
                <w:b w:val="0"/>
                <w:bCs w:val="0"/>
                <w:noProof/>
              </w:rPr>
              <mc:AlternateContent>
                <mc:Choice Requires="wps">
                  <w:drawing>
                    <wp:anchor distT="0" distB="0" distL="114300" distR="114300" simplePos="0" relativeHeight="251658752" behindDoc="0" locked="0" layoutInCell="1" allowOverlap="1">
                      <wp:simplePos x="0" y="0"/>
                      <wp:positionH relativeFrom="column">
                        <wp:posOffset>709295</wp:posOffset>
                      </wp:positionH>
                      <wp:positionV relativeFrom="paragraph">
                        <wp:posOffset>44450</wp:posOffset>
                      </wp:positionV>
                      <wp:extent cx="2222500" cy="0"/>
                      <wp:effectExtent l="10160" t="6350" r="5715"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281E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3.5pt" to="230.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FBEA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"/>
                  </w:pict>
                </mc:Fallback>
              </mc:AlternateContent>
            </w:r>
          </w:p>
          <w:p w:rsidR="009F0453" w:rsidRPr="00F37111" w:rsidRDefault="009F0453" w:rsidP="00631195">
            <w:pPr>
              <w:pStyle w:val="Heading2"/>
              <w:ind w:firstLine="709"/>
              <w:jc w:val="left"/>
              <w:rPr>
                <w:b w:val="0"/>
                <w:bCs w:val="0"/>
                <w:i/>
                <w:iCs/>
                <w:sz w:val="28"/>
                <w:szCs w:val="28"/>
              </w:rPr>
            </w:pPr>
            <w:r w:rsidRPr="00F37111">
              <w:rPr>
                <w:b w:val="0"/>
                <w:bCs w:val="0"/>
                <w:i/>
                <w:iCs/>
                <w:sz w:val="28"/>
                <w:szCs w:val="28"/>
              </w:rPr>
              <w:t xml:space="preserve">Đà Nẵng, ngày   </w:t>
            </w:r>
            <w:r w:rsidR="004721FD">
              <w:rPr>
                <w:b w:val="0"/>
                <w:bCs w:val="0"/>
                <w:i/>
                <w:iCs/>
                <w:sz w:val="28"/>
                <w:szCs w:val="28"/>
              </w:rPr>
              <w:t xml:space="preserve">11 </w:t>
            </w:r>
            <w:r w:rsidRPr="00F37111">
              <w:rPr>
                <w:b w:val="0"/>
                <w:bCs w:val="0"/>
                <w:i/>
                <w:iCs/>
                <w:sz w:val="28"/>
                <w:szCs w:val="28"/>
              </w:rPr>
              <w:t xml:space="preserve"> tháng  </w:t>
            </w:r>
            <w:r w:rsidR="004721FD">
              <w:rPr>
                <w:b w:val="0"/>
                <w:bCs w:val="0"/>
                <w:i/>
                <w:iCs/>
                <w:sz w:val="28"/>
                <w:szCs w:val="28"/>
              </w:rPr>
              <w:t>6</w:t>
            </w:r>
            <w:r w:rsidRPr="00F37111">
              <w:rPr>
                <w:b w:val="0"/>
                <w:bCs w:val="0"/>
                <w:i/>
                <w:iCs/>
                <w:sz w:val="28"/>
                <w:szCs w:val="28"/>
              </w:rPr>
              <w:t xml:space="preserve">    năm 2015</w:t>
            </w:r>
          </w:p>
        </w:tc>
      </w:tr>
    </w:tbl>
    <w:p w:rsidR="009F0453" w:rsidRPr="00F37111" w:rsidRDefault="009F0453" w:rsidP="009F0453">
      <w:pPr>
        <w:ind w:firstLine="709"/>
        <w:jc w:val="center"/>
        <w:rPr>
          <w:sz w:val="16"/>
          <w:szCs w:val="16"/>
        </w:rPr>
      </w:pPr>
    </w:p>
    <w:p w:rsidR="00631195" w:rsidRDefault="00631195" w:rsidP="009F0453">
      <w:pPr>
        <w:pStyle w:val="Heading2"/>
        <w:spacing w:before="120"/>
        <w:ind w:firstLine="709"/>
        <w:rPr>
          <w:sz w:val="28"/>
          <w:szCs w:val="28"/>
        </w:rPr>
      </w:pPr>
    </w:p>
    <w:p w:rsidR="009F0453" w:rsidRPr="00F37111" w:rsidRDefault="009F0453" w:rsidP="009F0453">
      <w:pPr>
        <w:pStyle w:val="Heading2"/>
        <w:spacing w:before="120"/>
        <w:ind w:firstLine="709"/>
        <w:rPr>
          <w:sz w:val="28"/>
          <w:szCs w:val="28"/>
        </w:rPr>
      </w:pPr>
      <w:bookmarkStart w:id="0" w:name="_GoBack"/>
      <w:bookmarkEnd w:id="0"/>
      <w:r w:rsidRPr="00F37111">
        <w:rPr>
          <w:sz w:val="28"/>
          <w:szCs w:val="28"/>
        </w:rPr>
        <w:t xml:space="preserve">QUYẾT ĐỊNH </w:t>
      </w:r>
    </w:p>
    <w:p w:rsidR="009F0453" w:rsidRPr="00F37111" w:rsidRDefault="009F0453" w:rsidP="009F0453">
      <w:pPr>
        <w:pStyle w:val="BodyText"/>
        <w:ind w:firstLine="709"/>
        <w:rPr>
          <w:sz w:val="28"/>
          <w:szCs w:val="28"/>
        </w:rPr>
      </w:pPr>
      <w:r w:rsidRPr="00F37111">
        <w:rPr>
          <w:bCs w:val="0"/>
          <w:sz w:val="28"/>
          <w:szCs w:val="28"/>
        </w:rPr>
        <w:t xml:space="preserve">Về việc ban hành Quy chế </w:t>
      </w:r>
      <w:r w:rsidRPr="00F37111">
        <w:rPr>
          <w:sz w:val="28"/>
          <w:szCs w:val="28"/>
        </w:rPr>
        <w:t>cho vay hoàn lương</w:t>
      </w:r>
    </w:p>
    <w:p w:rsidR="009F0453" w:rsidRPr="00F37111" w:rsidRDefault="001B338F" w:rsidP="009F0453">
      <w:pPr>
        <w:ind w:firstLine="709"/>
        <w:jc w:val="center"/>
        <w:rPr>
          <w:b/>
          <w:bCs/>
          <w:sz w:val="26"/>
          <w:szCs w:val="26"/>
        </w:rPr>
      </w:pPr>
      <w:r w:rsidRPr="00F37111">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2138680</wp:posOffset>
                </wp:positionH>
                <wp:positionV relativeFrom="paragraph">
                  <wp:posOffset>60325</wp:posOffset>
                </wp:positionV>
                <wp:extent cx="1808480" cy="0"/>
                <wp:effectExtent l="8890" t="8890" r="1143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8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90EC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pt,4.75pt" to="310.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F0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"/>
            </w:pict>
          </mc:Fallback>
        </mc:AlternateContent>
      </w:r>
      <w:r w:rsidR="009F0453" w:rsidRPr="00F37111">
        <w:rPr>
          <w:b/>
          <w:bCs/>
          <w:sz w:val="26"/>
          <w:szCs w:val="26"/>
        </w:rPr>
        <w:t xml:space="preserve"> </w:t>
      </w:r>
    </w:p>
    <w:p w:rsidR="009F0453" w:rsidRPr="00F37111" w:rsidRDefault="009F0453" w:rsidP="009F0453">
      <w:pPr>
        <w:pStyle w:val="Heading3"/>
        <w:spacing w:after="120"/>
        <w:ind w:firstLine="709"/>
      </w:pPr>
      <w:r w:rsidRPr="00F37111">
        <w:t xml:space="preserve">CHỦ TỊCH UỶ BAN NHÂN DÂN THÀNH PHỐ ĐÀ NẴNG </w:t>
      </w:r>
    </w:p>
    <w:p w:rsidR="009F0453" w:rsidRPr="00F37111" w:rsidRDefault="009F0453" w:rsidP="001E3FE3">
      <w:pPr>
        <w:pStyle w:val="BodyText2"/>
        <w:spacing w:before="60" w:after="60"/>
        <w:ind w:firstLine="709"/>
      </w:pPr>
      <w:r w:rsidRPr="00F37111">
        <w:tab/>
        <w:t>Căn cứ Luật Tổ chức Hội đồng nhân dân và Uỷ ban nhân dân ngày 26 tháng 11 năm 2003;</w:t>
      </w:r>
    </w:p>
    <w:p w:rsidR="009F0453" w:rsidRPr="00F37111" w:rsidRDefault="009F0453" w:rsidP="001E3FE3">
      <w:pPr>
        <w:pStyle w:val="BodyText2"/>
        <w:spacing w:before="60" w:after="60"/>
        <w:ind w:firstLine="709"/>
      </w:pPr>
      <w:r w:rsidRPr="00F37111">
        <w:t>C</w:t>
      </w:r>
      <w:r w:rsidRPr="00F37111">
        <w:rPr>
          <w:rFonts w:hint="eastAsia"/>
        </w:rPr>
        <w:t>ă</w:t>
      </w:r>
      <w:r w:rsidRPr="00F37111">
        <w:t>n cứ Nghị định số 78/2002/N</w:t>
      </w:r>
      <w:r w:rsidRPr="00F37111">
        <w:rPr>
          <w:rFonts w:hint="eastAsia"/>
        </w:rPr>
        <w:t>Đ</w:t>
      </w:r>
      <w:r w:rsidRPr="00F37111">
        <w:t>-CP ngày 04 tháng 10 n</w:t>
      </w:r>
      <w:r w:rsidRPr="00F37111">
        <w:rPr>
          <w:rFonts w:hint="eastAsia"/>
        </w:rPr>
        <w:t>ă</w:t>
      </w:r>
      <w:r w:rsidRPr="00F37111">
        <w:t>m 2002 của Chính phủ về tín dụng đối với ng</w:t>
      </w:r>
      <w:r w:rsidRPr="00F37111">
        <w:rPr>
          <w:rFonts w:hint="eastAsia"/>
        </w:rPr>
        <w:t>ư</w:t>
      </w:r>
      <w:r w:rsidRPr="00F37111">
        <w:t>ời nghèo và các đối tượng chính sách khác;</w:t>
      </w:r>
    </w:p>
    <w:p w:rsidR="009F0453" w:rsidRDefault="009F0453" w:rsidP="001E3FE3">
      <w:pPr>
        <w:pStyle w:val="BodyText2"/>
        <w:tabs>
          <w:tab w:val="left" w:pos="540"/>
        </w:tabs>
        <w:spacing w:before="60" w:after="60"/>
        <w:ind w:right="1" w:firstLine="709"/>
        <w:rPr>
          <w:bCs/>
          <w:spacing w:val="-4"/>
          <w:szCs w:val="28"/>
        </w:rPr>
      </w:pPr>
      <w:r w:rsidRPr="0090202E">
        <w:rPr>
          <w:szCs w:val="28"/>
        </w:rPr>
        <w:t>Căn cứ Quyết định số 16/2011/QĐ-UBND ngày 15 tháng 6 năm 2011 của UBND thành phố b</w:t>
      </w:r>
      <w:r w:rsidRPr="0090202E">
        <w:rPr>
          <w:bCs/>
          <w:spacing w:val="-4"/>
          <w:szCs w:val="28"/>
        </w:rPr>
        <w:t xml:space="preserve">an hành Quy định về việc quản lý, sử dụng vốn uỷ thác của ngân sách thành phố tại </w:t>
      </w:r>
      <w:r w:rsidR="004D4B43">
        <w:rPr>
          <w:bCs/>
          <w:spacing w:val="-4"/>
          <w:szCs w:val="28"/>
        </w:rPr>
        <w:t>Chi nhánh</w:t>
      </w:r>
      <w:r w:rsidRPr="0090202E">
        <w:rPr>
          <w:bCs/>
          <w:spacing w:val="-4"/>
          <w:szCs w:val="28"/>
        </w:rPr>
        <w:t xml:space="preserve"> Ngân hàng Chính sách xã hội thành phố Đà Nẵng;</w:t>
      </w:r>
    </w:p>
    <w:p w:rsidR="009F0453" w:rsidRDefault="009F0453" w:rsidP="001E3FE3">
      <w:pPr>
        <w:pStyle w:val="BodyText2"/>
        <w:tabs>
          <w:tab w:val="left" w:pos="540"/>
        </w:tabs>
        <w:spacing w:before="60" w:after="60"/>
        <w:ind w:right="1" w:firstLine="709"/>
        <w:rPr>
          <w:bCs/>
          <w:spacing w:val="-4"/>
          <w:szCs w:val="28"/>
        </w:rPr>
      </w:pPr>
      <w:r>
        <w:rPr>
          <w:bCs/>
          <w:spacing w:val="-4"/>
          <w:szCs w:val="28"/>
        </w:rPr>
        <w:t>Theo Kết luận tại các cuộc họp giao ban Chủ tịch, Phó Chủ tịch UBND thành phố ngày 06</w:t>
      </w:r>
      <w:r w:rsidR="00401636">
        <w:rPr>
          <w:bCs/>
          <w:spacing w:val="-4"/>
          <w:szCs w:val="28"/>
        </w:rPr>
        <w:t xml:space="preserve"> tháng </w:t>
      </w:r>
      <w:r>
        <w:rPr>
          <w:bCs/>
          <w:spacing w:val="-4"/>
          <w:szCs w:val="28"/>
        </w:rPr>
        <w:t>10</w:t>
      </w:r>
      <w:r w:rsidR="00401636">
        <w:rPr>
          <w:bCs/>
          <w:spacing w:val="-4"/>
          <w:szCs w:val="28"/>
        </w:rPr>
        <w:t xml:space="preserve"> năm </w:t>
      </w:r>
      <w:r>
        <w:rPr>
          <w:bCs/>
          <w:spacing w:val="-4"/>
          <w:szCs w:val="28"/>
        </w:rPr>
        <w:t>2014 (</w:t>
      </w:r>
      <w:r w:rsidR="005F2743">
        <w:rPr>
          <w:bCs/>
          <w:spacing w:val="-4"/>
          <w:szCs w:val="28"/>
        </w:rPr>
        <w:t xml:space="preserve">Thông báo tại </w:t>
      </w:r>
      <w:r>
        <w:rPr>
          <w:bCs/>
          <w:spacing w:val="-4"/>
          <w:szCs w:val="28"/>
        </w:rPr>
        <w:t>Công văn số 4078/VP-TCD ngày 04</w:t>
      </w:r>
      <w:r w:rsidR="00401636">
        <w:rPr>
          <w:bCs/>
          <w:spacing w:val="-4"/>
          <w:szCs w:val="28"/>
        </w:rPr>
        <w:t xml:space="preserve"> tháng </w:t>
      </w:r>
      <w:r>
        <w:rPr>
          <w:bCs/>
          <w:spacing w:val="-4"/>
          <w:szCs w:val="28"/>
        </w:rPr>
        <w:t>11</w:t>
      </w:r>
      <w:r w:rsidR="00401636">
        <w:rPr>
          <w:bCs/>
          <w:spacing w:val="-4"/>
          <w:szCs w:val="28"/>
        </w:rPr>
        <w:t xml:space="preserve"> năm </w:t>
      </w:r>
      <w:r>
        <w:rPr>
          <w:bCs/>
          <w:spacing w:val="-4"/>
          <w:szCs w:val="28"/>
        </w:rPr>
        <w:t>2014 của Văn phòng UBND thành phố về đề xuất giải quyết Quỹ Hỗ trợ cho vay vốn thành phố) và ngày 06</w:t>
      </w:r>
      <w:r w:rsidR="00401636">
        <w:rPr>
          <w:bCs/>
          <w:spacing w:val="-4"/>
          <w:szCs w:val="28"/>
        </w:rPr>
        <w:t xml:space="preserve"> tháng 4 năm </w:t>
      </w:r>
      <w:r>
        <w:rPr>
          <w:bCs/>
          <w:spacing w:val="-4"/>
          <w:szCs w:val="28"/>
        </w:rPr>
        <w:t>2015 (</w:t>
      </w:r>
      <w:r w:rsidR="005F2743">
        <w:rPr>
          <w:bCs/>
          <w:spacing w:val="-4"/>
          <w:szCs w:val="28"/>
        </w:rPr>
        <w:t xml:space="preserve">Thông báo tại </w:t>
      </w:r>
      <w:r>
        <w:rPr>
          <w:bCs/>
          <w:spacing w:val="-4"/>
          <w:szCs w:val="28"/>
        </w:rPr>
        <w:t>Công văn số 1152/VP-VX ngày 23</w:t>
      </w:r>
      <w:r w:rsidR="00401636">
        <w:rPr>
          <w:bCs/>
          <w:spacing w:val="-4"/>
          <w:szCs w:val="28"/>
        </w:rPr>
        <w:t xml:space="preserve"> tháng 4 năm </w:t>
      </w:r>
      <w:r>
        <w:rPr>
          <w:bCs/>
          <w:spacing w:val="-4"/>
          <w:szCs w:val="28"/>
        </w:rPr>
        <w:t>2015</w:t>
      </w:r>
      <w:r w:rsidR="00401636">
        <w:rPr>
          <w:bCs/>
          <w:spacing w:val="-4"/>
          <w:szCs w:val="28"/>
        </w:rPr>
        <w:t xml:space="preserve"> của Văn phòng UBND thành phố về quy định cho vay hoàn lương</w:t>
      </w:r>
      <w:r w:rsidR="005F2743">
        <w:rPr>
          <w:bCs/>
          <w:spacing w:val="-4"/>
          <w:szCs w:val="28"/>
        </w:rPr>
        <w:t>)</w:t>
      </w:r>
      <w:r w:rsidR="00401636">
        <w:rPr>
          <w:bCs/>
          <w:spacing w:val="-4"/>
          <w:szCs w:val="28"/>
        </w:rPr>
        <w:t>;</w:t>
      </w:r>
    </w:p>
    <w:p w:rsidR="009F0453" w:rsidRPr="00F37111" w:rsidRDefault="009F0453" w:rsidP="001E3FE3">
      <w:pPr>
        <w:pStyle w:val="BodyText"/>
        <w:spacing w:before="60" w:after="60"/>
        <w:ind w:firstLine="709"/>
        <w:jc w:val="both"/>
        <w:rPr>
          <w:b w:val="0"/>
          <w:bCs w:val="0"/>
          <w:sz w:val="28"/>
          <w:szCs w:val="28"/>
        </w:rPr>
      </w:pPr>
      <w:r w:rsidRPr="00F37111">
        <w:tab/>
      </w:r>
      <w:r w:rsidRPr="00F37111">
        <w:rPr>
          <w:b w:val="0"/>
          <w:sz w:val="28"/>
          <w:szCs w:val="28"/>
        </w:rPr>
        <w:t>Xét</w:t>
      </w:r>
      <w:r w:rsidRPr="00F37111">
        <w:rPr>
          <w:b w:val="0"/>
          <w:bCs w:val="0"/>
          <w:sz w:val="28"/>
          <w:szCs w:val="28"/>
        </w:rPr>
        <w:t xml:space="preserve"> đề nghị của </w:t>
      </w:r>
      <w:r w:rsidR="004D4B43">
        <w:rPr>
          <w:b w:val="0"/>
          <w:bCs w:val="0"/>
          <w:sz w:val="28"/>
          <w:szCs w:val="28"/>
        </w:rPr>
        <w:t>Chi nhánh</w:t>
      </w:r>
      <w:r w:rsidR="00401636">
        <w:rPr>
          <w:b w:val="0"/>
          <w:bCs w:val="0"/>
          <w:sz w:val="28"/>
          <w:szCs w:val="28"/>
        </w:rPr>
        <w:t xml:space="preserve"> Ngân hàng Chính sách xã hội </w:t>
      </w:r>
      <w:r w:rsidRPr="00F37111">
        <w:rPr>
          <w:b w:val="0"/>
          <w:bCs w:val="0"/>
          <w:sz w:val="28"/>
          <w:szCs w:val="28"/>
        </w:rPr>
        <w:t xml:space="preserve">tại </w:t>
      </w:r>
      <w:r w:rsidR="00401636">
        <w:rPr>
          <w:b w:val="0"/>
          <w:bCs w:val="0"/>
          <w:sz w:val="28"/>
          <w:szCs w:val="28"/>
        </w:rPr>
        <w:t>Tờ trình số 347/TTr-NHCS</w:t>
      </w:r>
      <w:r w:rsidRPr="00F37111">
        <w:rPr>
          <w:b w:val="0"/>
          <w:bCs w:val="0"/>
          <w:sz w:val="28"/>
          <w:szCs w:val="28"/>
        </w:rPr>
        <w:t xml:space="preserve"> ngày</w:t>
      </w:r>
      <w:r w:rsidR="00956892">
        <w:rPr>
          <w:b w:val="0"/>
          <w:bCs w:val="0"/>
          <w:sz w:val="28"/>
          <w:szCs w:val="28"/>
        </w:rPr>
        <w:t xml:space="preserve"> 18 </w:t>
      </w:r>
      <w:r w:rsidRPr="00F37111">
        <w:rPr>
          <w:b w:val="0"/>
          <w:bCs w:val="0"/>
          <w:sz w:val="28"/>
          <w:szCs w:val="28"/>
        </w:rPr>
        <w:t>tháng</w:t>
      </w:r>
      <w:r w:rsidR="00956892">
        <w:rPr>
          <w:b w:val="0"/>
          <w:bCs w:val="0"/>
          <w:sz w:val="28"/>
          <w:szCs w:val="28"/>
        </w:rPr>
        <w:t xml:space="preserve"> 5 </w:t>
      </w:r>
      <w:r w:rsidRPr="00F37111">
        <w:rPr>
          <w:b w:val="0"/>
          <w:bCs w:val="0"/>
          <w:sz w:val="28"/>
          <w:szCs w:val="28"/>
        </w:rPr>
        <w:t>năm 2015</w:t>
      </w:r>
      <w:r w:rsidR="00956892">
        <w:rPr>
          <w:b w:val="0"/>
          <w:bCs w:val="0"/>
          <w:sz w:val="28"/>
          <w:szCs w:val="28"/>
        </w:rPr>
        <w:t xml:space="preserve"> </w:t>
      </w:r>
      <w:r w:rsidRPr="00F37111">
        <w:rPr>
          <w:b w:val="0"/>
          <w:bCs w:val="0"/>
          <w:sz w:val="28"/>
          <w:szCs w:val="28"/>
        </w:rPr>
        <w:t xml:space="preserve">về việc </w:t>
      </w:r>
      <w:r w:rsidR="00956892">
        <w:rPr>
          <w:b w:val="0"/>
          <w:bCs w:val="0"/>
          <w:sz w:val="28"/>
          <w:szCs w:val="28"/>
        </w:rPr>
        <w:t>ban hành Quyết định cho vay hoàn lương</w:t>
      </w:r>
      <w:r w:rsidRPr="00F37111">
        <w:rPr>
          <w:b w:val="0"/>
          <w:sz w:val="28"/>
          <w:szCs w:val="28"/>
        </w:rPr>
        <w:t>,</w:t>
      </w:r>
    </w:p>
    <w:p w:rsidR="009F0453" w:rsidRPr="00F37111" w:rsidRDefault="009F0453" w:rsidP="001E3FE3">
      <w:pPr>
        <w:spacing w:before="120" w:after="120"/>
        <w:ind w:firstLine="709"/>
        <w:jc w:val="center"/>
      </w:pPr>
      <w:r w:rsidRPr="00F37111">
        <w:rPr>
          <w:b/>
          <w:bCs/>
        </w:rPr>
        <w:t>QUYẾT ĐỊNH:</w:t>
      </w:r>
      <w:r w:rsidRPr="00F37111">
        <w:tab/>
      </w:r>
    </w:p>
    <w:p w:rsidR="009F0453" w:rsidRPr="00F37111" w:rsidRDefault="009F0453" w:rsidP="001E3FE3">
      <w:pPr>
        <w:spacing w:before="120" w:after="120"/>
        <w:ind w:right="45" w:firstLine="709"/>
        <w:jc w:val="both"/>
        <w:rPr>
          <w:bCs/>
          <w:lang w:val="vi-VN"/>
        </w:rPr>
      </w:pPr>
      <w:r w:rsidRPr="00F37111">
        <w:rPr>
          <w:b/>
          <w:lang w:val="vi-VN"/>
        </w:rPr>
        <w:t xml:space="preserve">Điều 1. </w:t>
      </w:r>
      <w:r w:rsidR="00956892" w:rsidRPr="00592B47">
        <w:rPr>
          <w:bCs/>
          <w:spacing w:val="-4"/>
        </w:rPr>
        <w:t xml:space="preserve">Ban hành kèm theo Quyết định này Quy </w:t>
      </w:r>
      <w:r w:rsidR="004D4B43">
        <w:rPr>
          <w:bCs/>
          <w:spacing w:val="-4"/>
        </w:rPr>
        <w:t>chế</w:t>
      </w:r>
      <w:r w:rsidR="00956892" w:rsidRPr="00592B47">
        <w:rPr>
          <w:bCs/>
          <w:spacing w:val="-4"/>
        </w:rPr>
        <w:t xml:space="preserve"> </w:t>
      </w:r>
      <w:r w:rsidR="004D4B43" w:rsidRPr="004D4B43">
        <w:rPr>
          <w:szCs w:val="28"/>
        </w:rPr>
        <w:t xml:space="preserve">tạo lập, quản lý và sử dụng nguồn vốn ngân sách thành phố uỷ thác qua </w:t>
      </w:r>
      <w:r w:rsidR="004D4B43">
        <w:rPr>
          <w:szCs w:val="28"/>
        </w:rPr>
        <w:t>Chi nhánh</w:t>
      </w:r>
      <w:r w:rsidR="004D4B43" w:rsidRPr="004D4B43">
        <w:rPr>
          <w:szCs w:val="28"/>
        </w:rPr>
        <w:t xml:space="preserve"> Ngân hàng Chính sách xã hội (viết tắt là NHCSXH) thành phố Đà Nẵng </w:t>
      </w:r>
      <w:r w:rsidR="004D4B43" w:rsidRPr="004D4B43">
        <w:rPr>
          <w:rFonts w:hint="eastAsia"/>
          <w:szCs w:val="28"/>
        </w:rPr>
        <w:t>đ</w:t>
      </w:r>
      <w:r w:rsidR="004D4B43" w:rsidRPr="004D4B43">
        <w:rPr>
          <w:szCs w:val="28"/>
        </w:rPr>
        <w:t>ể cho</w:t>
      </w:r>
      <w:r w:rsidR="004D4B43" w:rsidRPr="004D4B43">
        <w:rPr>
          <w:bCs/>
          <w:szCs w:val="28"/>
        </w:rPr>
        <w:t xml:space="preserve"> vay và hỗ trợ lãi suất đối với </w:t>
      </w:r>
      <w:r w:rsidR="004D4B43" w:rsidRPr="004D4B43">
        <w:rPr>
          <w:szCs w:val="28"/>
        </w:rPr>
        <w:t>hộ gia đình có người</w:t>
      </w:r>
      <w:r w:rsidR="004D4B43">
        <w:rPr>
          <w:b/>
          <w:szCs w:val="28"/>
        </w:rPr>
        <w:t xml:space="preserve"> </w:t>
      </w:r>
      <w:r w:rsidR="00401722" w:rsidRPr="00401722">
        <w:rPr>
          <w:szCs w:val="28"/>
        </w:rPr>
        <w:t xml:space="preserve">đã chấp hành xong hình phạt tù, trở về cư trú tại thành phố Đà Nẵng, đã thực sự tiến bộ, có hoàn cảnh khó khăn và có nhu cầu vay vốn nhằm ổn định cuộc sống, tái hòa nhập cộng đồng </w:t>
      </w:r>
      <w:r w:rsidR="0032063C">
        <w:rPr>
          <w:bCs/>
        </w:rPr>
        <w:t>(gọi tắt là người hoàn lương).</w:t>
      </w:r>
    </w:p>
    <w:p w:rsidR="00605DBA" w:rsidRPr="00F37111" w:rsidRDefault="009F0453" w:rsidP="001E3FE3">
      <w:pPr>
        <w:spacing w:before="120" w:after="120"/>
        <w:ind w:firstLine="709"/>
        <w:jc w:val="both"/>
        <w:rPr>
          <w:lang w:val="vi-VN"/>
        </w:rPr>
      </w:pPr>
      <w:r w:rsidRPr="00F37111">
        <w:rPr>
          <w:b/>
          <w:lang w:val="vi-VN"/>
        </w:rPr>
        <w:t>Điều 2.</w:t>
      </w:r>
      <w:r w:rsidRPr="00F37111">
        <w:rPr>
          <w:lang w:val="vi-VN"/>
        </w:rPr>
        <w:t xml:space="preserve"> </w:t>
      </w:r>
      <w:r w:rsidR="00605DBA" w:rsidRPr="00F37111">
        <w:rPr>
          <w:lang w:val="vi-VN"/>
        </w:rPr>
        <w:t>Quyết định này có hiệu lực thi hành kể từ ngày ký.</w:t>
      </w:r>
    </w:p>
    <w:p w:rsidR="009F0453" w:rsidRDefault="0032063C" w:rsidP="001E3FE3">
      <w:pPr>
        <w:spacing w:before="120" w:after="120"/>
        <w:ind w:firstLine="709"/>
        <w:jc w:val="both"/>
      </w:pPr>
      <w:r w:rsidRPr="00592B47">
        <w:rPr>
          <w:b/>
        </w:rPr>
        <w:t>Điều 3.</w:t>
      </w:r>
      <w:r w:rsidRPr="00592B47">
        <w:t xml:space="preserve"> </w:t>
      </w:r>
      <w:r w:rsidR="00605DBA">
        <w:t>Chuyển giao Quỹ hỗ trợ cho vay vốn thành phố Đà Nẵng sang Chương trình cho vay hoàn lương</w:t>
      </w:r>
    </w:p>
    <w:p w:rsidR="00605DBA" w:rsidRDefault="0055760D" w:rsidP="001E3FE3">
      <w:pPr>
        <w:spacing w:before="120" w:after="120"/>
        <w:ind w:firstLine="709"/>
        <w:jc w:val="both"/>
      </w:pPr>
      <w:r>
        <w:t xml:space="preserve">1. </w:t>
      </w:r>
      <w:r w:rsidR="00605DBA">
        <w:t>Ngay sau khi Quyết định này có hiệu lực, Ban Quản lý Quỹ hỗ trợ vay vốn thành phố</w:t>
      </w:r>
      <w:r>
        <w:t xml:space="preserve"> có trách nhiệm:</w:t>
      </w:r>
    </w:p>
    <w:p w:rsidR="003678C6" w:rsidRDefault="00890ADC" w:rsidP="001E3FE3">
      <w:pPr>
        <w:spacing w:before="120" w:after="120"/>
        <w:ind w:firstLine="709"/>
        <w:jc w:val="both"/>
      </w:pPr>
      <w:r>
        <w:t>a)</w:t>
      </w:r>
      <w:r w:rsidR="0055760D">
        <w:t xml:space="preserve"> Chấm dứt hoạt động cho vay theo Quyết định số 11/2002/QĐ-UB ngày 25/01/2002 của UBND thành phố về việc vay tiền từ Quỹ hỗ trợ cho vay vốn </w:t>
      </w:r>
      <w:r w:rsidR="0065756A">
        <w:t xml:space="preserve">thành phố </w:t>
      </w:r>
      <w:r w:rsidR="0055760D">
        <w:t xml:space="preserve">và Quyết định số 9374/QĐ-UBND ngày 30/12/2006 của UBND thành </w:t>
      </w:r>
      <w:r w:rsidR="0055760D">
        <w:lastRenderedPageBreak/>
        <w:t>phố ban hành Quy định về quản lý, điều hành vốn từ Quỹ hỗ trợ cho vay vốn</w:t>
      </w:r>
      <w:r w:rsidR="0065756A">
        <w:t xml:space="preserve"> thành phố</w:t>
      </w:r>
      <w:r w:rsidR="0055760D">
        <w:t xml:space="preserve">; </w:t>
      </w:r>
    </w:p>
    <w:p w:rsidR="0055760D" w:rsidRDefault="003678C6" w:rsidP="001E3FE3">
      <w:pPr>
        <w:spacing w:before="120" w:after="120"/>
        <w:ind w:firstLine="709"/>
        <w:jc w:val="both"/>
      </w:pPr>
      <w:r>
        <w:t xml:space="preserve">b) Chấm dứt </w:t>
      </w:r>
      <w:r w:rsidR="0055760D">
        <w:t xml:space="preserve">chi </w:t>
      </w:r>
      <w:r w:rsidR="009C0023">
        <w:t>các khoản phụ cấp, hỗ trợ, bồi dưỡng, văn phòng phẩm</w:t>
      </w:r>
      <w:r w:rsidR="0055760D">
        <w:t xml:space="preserve"> </w:t>
      </w:r>
      <w:r w:rsidR="009C0023">
        <w:t>theo Thông báo số 33/TB-VP ngày 14/8/2006 của Văn phòng HĐND thành phố về ý kiến kết luận của Chủ tịch HĐND thành phố Nguyễn Bá Thanh về việc cho những người đã chấp hành xong hình phạt tù vay vốn để ổn định cuộc sống và Thông báo số 149/TB-VP ngày 30/5/2011 của Văn phòng UBND thành phố về kết luận của Phó Chủ tịch Thường trực UBND thành phố Võ Duy Khương tại buổi làm việc với Quỹ hỗ trợ cho vay vốn</w:t>
      </w:r>
      <w:r w:rsidR="0065756A">
        <w:t xml:space="preserve"> thành phố</w:t>
      </w:r>
      <w:r w:rsidR="009C0023">
        <w:t>.</w:t>
      </w:r>
    </w:p>
    <w:p w:rsidR="009C0023" w:rsidRDefault="003678C6" w:rsidP="001E3FE3">
      <w:pPr>
        <w:spacing w:before="120" w:after="120"/>
        <w:ind w:firstLine="709"/>
        <w:jc w:val="both"/>
        <w:rPr>
          <w:bCs/>
          <w:szCs w:val="28"/>
        </w:rPr>
      </w:pPr>
      <w:r>
        <w:t>c</w:t>
      </w:r>
      <w:r w:rsidR="00890ADC">
        <w:t>)</w:t>
      </w:r>
      <w:r w:rsidR="009C0023">
        <w:t xml:space="preserve"> Phối hợp với Chi nhánh NHCSXH thành phố tiến hành cho vay </w:t>
      </w:r>
      <w:r w:rsidR="00882E15">
        <w:t xml:space="preserve">đối với những người còn dư nợ Quỹ hỗ trợ cho vay vốn </w:t>
      </w:r>
      <w:r w:rsidR="0065756A">
        <w:t xml:space="preserve">thành phố </w:t>
      </w:r>
      <w:r w:rsidR="009C0023">
        <w:t xml:space="preserve">để </w:t>
      </w:r>
      <w:r w:rsidR="00882E15" w:rsidRPr="00882E15">
        <w:rPr>
          <w:bCs/>
          <w:szCs w:val="28"/>
        </w:rPr>
        <w:t xml:space="preserve">trả nợ cho </w:t>
      </w:r>
      <w:r w:rsidR="00882E15">
        <w:rPr>
          <w:bCs/>
          <w:szCs w:val="28"/>
        </w:rPr>
        <w:t xml:space="preserve">Quỹ và </w:t>
      </w:r>
      <w:r w:rsidR="00882E15" w:rsidRPr="00882E15">
        <w:rPr>
          <w:bCs/>
          <w:szCs w:val="28"/>
        </w:rPr>
        <w:t xml:space="preserve">phục vụ việc chuyển giao Quỹ sang Chương trình cho vay </w:t>
      </w:r>
      <w:r w:rsidR="00882E15">
        <w:rPr>
          <w:bCs/>
          <w:szCs w:val="28"/>
        </w:rPr>
        <w:t>hoàn lương.</w:t>
      </w:r>
    </w:p>
    <w:p w:rsidR="00645294" w:rsidRDefault="00882E15" w:rsidP="00645294">
      <w:pPr>
        <w:spacing w:before="120" w:after="120"/>
        <w:ind w:firstLine="709"/>
        <w:jc w:val="both"/>
        <w:rPr>
          <w:bCs/>
          <w:szCs w:val="28"/>
        </w:rPr>
      </w:pPr>
      <w:r>
        <w:rPr>
          <w:bCs/>
          <w:szCs w:val="28"/>
        </w:rPr>
        <w:t>2. Trong thời hạn 3</w:t>
      </w:r>
      <w:r w:rsidR="00645294">
        <w:rPr>
          <w:bCs/>
          <w:szCs w:val="28"/>
        </w:rPr>
        <w:t>0 ngày</w:t>
      </w:r>
      <w:r>
        <w:rPr>
          <w:bCs/>
          <w:szCs w:val="28"/>
        </w:rPr>
        <w:t xml:space="preserve"> kể từ ngày </w:t>
      </w:r>
      <w:r>
        <w:t>Quyết định này có hiệu lực</w:t>
      </w:r>
      <w:r w:rsidR="0065756A">
        <w:t xml:space="preserve">, </w:t>
      </w:r>
      <w:r w:rsidR="00645294">
        <w:t xml:space="preserve">Ban Quản lý Quỹ hỗ trợ vay vốn thành phố có trách nhiệm </w:t>
      </w:r>
      <w:r w:rsidR="00645294">
        <w:rPr>
          <w:bCs/>
          <w:szCs w:val="28"/>
        </w:rPr>
        <w:t>b</w:t>
      </w:r>
      <w:r w:rsidR="003678C6">
        <w:rPr>
          <w:bCs/>
          <w:szCs w:val="28"/>
        </w:rPr>
        <w:t xml:space="preserve">áo cáo tình hình tài chính, kết quả chuyển giao và và </w:t>
      </w:r>
      <w:r w:rsidR="00645294">
        <w:rPr>
          <w:bCs/>
          <w:szCs w:val="28"/>
        </w:rPr>
        <w:t xml:space="preserve">đề xuất UBND thành phố (Thông qua Sở Tài chính) xử lý đối với trường hợp còn dư nợ </w:t>
      </w:r>
      <w:r w:rsidR="00645294">
        <w:t xml:space="preserve">Quỹ hỗ trợ cho vay vốn thành phố nhưng không được </w:t>
      </w:r>
      <w:r w:rsidR="00645294" w:rsidRPr="00882E15">
        <w:rPr>
          <w:bCs/>
          <w:szCs w:val="28"/>
        </w:rPr>
        <w:t xml:space="preserve">chuyển sang Chương trình cho vay </w:t>
      </w:r>
      <w:r w:rsidR="00645294">
        <w:rPr>
          <w:bCs/>
          <w:szCs w:val="28"/>
        </w:rPr>
        <w:t>hoàn lương.</w:t>
      </w:r>
    </w:p>
    <w:p w:rsidR="00882E15" w:rsidRDefault="00645294" w:rsidP="001E3FE3">
      <w:pPr>
        <w:spacing w:before="120" w:after="120"/>
        <w:ind w:firstLine="709"/>
        <w:jc w:val="both"/>
      </w:pPr>
      <w:r>
        <w:t xml:space="preserve">3. </w:t>
      </w:r>
      <w:r w:rsidR="0065756A">
        <w:t>Sở Tài chính có trách nhiệm chủ trì, phối hợp với Ban Quản lý Quỹ hỗ trợ vay vốn thành phố, Công an thành phố, Chi nhánh NHCSXH thành phố, Sở Nội vụ tham mưu UBND thành phố:</w:t>
      </w:r>
    </w:p>
    <w:p w:rsidR="0065756A" w:rsidRDefault="00890ADC" w:rsidP="001E3FE3">
      <w:pPr>
        <w:spacing w:before="120" w:after="120"/>
        <w:ind w:firstLine="709"/>
        <w:jc w:val="both"/>
        <w:rPr>
          <w:bCs/>
          <w:szCs w:val="28"/>
        </w:rPr>
      </w:pPr>
      <w:r>
        <w:t>a)</w:t>
      </w:r>
      <w:r w:rsidR="0065756A">
        <w:t xml:space="preserve"> Xử lý các trường hợp </w:t>
      </w:r>
      <w:r w:rsidR="0065756A">
        <w:rPr>
          <w:bCs/>
          <w:szCs w:val="28"/>
        </w:rPr>
        <w:t xml:space="preserve">còn dư nợ </w:t>
      </w:r>
      <w:r w:rsidR="0065756A">
        <w:t xml:space="preserve">Quỹ hỗ trợ cho vay vốn thành phố nhưng không được </w:t>
      </w:r>
      <w:r w:rsidR="0065756A" w:rsidRPr="00882E15">
        <w:rPr>
          <w:bCs/>
          <w:szCs w:val="28"/>
        </w:rPr>
        <w:t xml:space="preserve">chuyển sang Chương trình cho vay </w:t>
      </w:r>
      <w:r w:rsidR="0065756A">
        <w:rPr>
          <w:bCs/>
          <w:szCs w:val="28"/>
        </w:rPr>
        <w:t>hoàn lương</w:t>
      </w:r>
      <w:r>
        <w:rPr>
          <w:bCs/>
          <w:szCs w:val="28"/>
        </w:rPr>
        <w:t xml:space="preserve"> và các vấn đề vướng mắc, phát sinh trong quá trình chuyển giao</w:t>
      </w:r>
      <w:r w:rsidR="0065756A">
        <w:rPr>
          <w:bCs/>
          <w:szCs w:val="28"/>
        </w:rPr>
        <w:t>.</w:t>
      </w:r>
    </w:p>
    <w:p w:rsidR="0065756A" w:rsidRPr="00882E15" w:rsidRDefault="00890ADC" w:rsidP="001E3FE3">
      <w:pPr>
        <w:spacing w:before="120" w:after="120"/>
        <w:ind w:firstLine="709"/>
        <w:jc w:val="both"/>
      </w:pPr>
      <w:r>
        <w:rPr>
          <w:bCs/>
          <w:szCs w:val="28"/>
        </w:rPr>
        <w:t>b)</w:t>
      </w:r>
      <w:r w:rsidR="0065756A">
        <w:rPr>
          <w:bCs/>
          <w:szCs w:val="28"/>
        </w:rPr>
        <w:t xml:space="preserve"> Ban hành Quyết định chấm dứt hiệu lực </w:t>
      </w:r>
      <w:r w:rsidR="0065756A">
        <w:t>Quyết định số 11/2002/QĐ-UB và Quyết định số 9374/QĐ-UBND; giải thể Ban Quản lý Quỹ hỗ trợ cho vay vốn thành phố.</w:t>
      </w:r>
    </w:p>
    <w:p w:rsidR="009F0453" w:rsidRPr="00F37111" w:rsidRDefault="009F0453" w:rsidP="001E3FE3">
      <w:pPr>
        <w:tabs>
          <w:tab w:val="left" w:pos="540"/>
        </w:tabs>
        <w:spacing w:before="120" w:after="120"/>
        <w:ind w:firstLine="709"/>
        <w:jc w:val="both"/>
        <w:rPr>
          <w:lang w:val="vi-VN"/>
        </w:rPr>
      </w:pPr>
      <w:r w:rsidRPr="00F37111">
        <w:rPr>
          <w:b/>
          <w:lang w:val="vi-VN"/>
        </w:rPr>
        <w:t xml:space="preserve">Điều </w:t>
      </w:r>
      <w:r w:rsidR="008D39AB">
        <w:rPr>
          <w:b/>
        </w:rPr>
        <w:t>4</w:t>
      </w:r>
      <w:r w:rsidRPr="00F37111">
        <w:rPr>
          <w:b/>
          <w:lang w:val="vi-VN"/>
        </w:rPr>
        <w:t>.</w:t>
      </w:r>
      <w:r w:rsidRPr="00F37111">
        <w:rPr>
          <w:lang w:val="vi-VN"/>
        </w:rPr>
        <w:t xml:space="preserve"> Chánh Văn phòng UBND thành phố; Giám đốc các sở, ngành</w:t>
      </w:r>
      <w:r w:rsidR="00605DBA">
        <w:t xml:space="preserve"> thành phố</w:t>
      </w:r>
      <w:r w:rsidRPr="00F37111">
        <w:rPr>
          <w:lang w:val="vi-VN"/>
        </w:rPr>
        <w:t xml:space="preserve">: Tài chính, Công </w:t>
      </w:r>
      <w:r>
        <w:t>a</w:t>
      </w:r>
      <w:r w:rsidRPr="00F37111">
        <w:rPr>
          <w:lang w:val="vi-VN"/>
        </w:rPr>
        <w:t xml:space="preserve">n, </w:t>
      </w:r>
      <w:r w:rsidR="004D4B43">
        <w:t>Chi nhánh</w:t>
      </w:r>
      <w:r w:rsidRPr="00F37111">
        <w:rPr>
          <w:lang w:val="vi-VN"/>
        </w:rPr>
        <w:t xml:space="preserve"> </w:t>
      </w:r>
      <w:r w:rsidR="004D4B43">
        <w:rPr>
          <w:lang w:val="vi-VN"/>
        </w:rPr>
        <w:t>NHCSXH</w:t>
      </w:r>
      <w:r w:rsidR="008D39AB">
        <w:t xml:space="preserve">; </w:t>
      </w:r>
      <w:r w:rsidR="008D39AB" w:rsidRPr="00263196">
        <w:rPr>
          <w:lang w:val="nl-NL"/>
        </w:rPr>
        <w:t>Chủ tịch UBND quận, huyện</w:t>
      </w:r>
      <w:r w:rsidRPr="00F37111">
        <w:rPr>
          <w:lang w:val="vi-VN"/>
        </w:rPr>
        <w:t xml:space="preserve"> và thủ trưởng các cơ quan đơn vị có liên quan chịu trách nhiệm thi hành Quyết định này./.</w:t>
      </w:r>
    </w:p>
    <w:p w:rsidR="009F0453" w:rsidRPr="00F37111" w:rsidRDefault="009F0453" w:rsidP="009F0453">
      <w:pPr>
        <w:ind w:firstLine="709"/>
        <w:rPr>
          <w:sz w:val="16"/>
          <w:lang w:val="vi-VN"/>
        </w:rPr>
      </w:pPr>
    </w:p>
    <w:p w:rsidR="009F0453" w:rsidRPr="00F37111" w:rsidRDefault="009F0453" w:rsidP="009F0453">
      <w:pPr>
        <w:tabs>
          <w:tab w:val="center" w:pos="5760"/>
        </w:tabs>
        <w:ind w:firstLine="709"/>
        <w:rPr>
          <w:lang w:val="vi-VN"/>
        </w:rPr>
      </w:pPr>
      <w:r w:rsidRPr="00F37111">
        <w:rPr>
          <w:b/>
          <w:i/>
          <w:sz w:val="24"/>
          <w:lang w:val="vi-VN"/>
        </w:rPr>
        <w:t>Nơi nhận:</w:t>
      </w:r>
      <w:r w:rsidR="008D39AB">
        <w:rPr>
          <w:b/>
          <w:i/>
          <w:sz w:val="24"/>
        </w:rPr>
        <w:tab/>
      </w:r>
      <w:r w:rsidR="008D39AB">
        <w:rPr>
          <w:b/>
          <w:i/>
          <w:sz w:val="24"/>
        </w:rPr>
        <w:tab/>
        <w:t xml:space="preserve">  </w:t>
      </w:r>
      <w:r w:rsidRPr="00F37111">
        <w:rPr>
          <w:b/>
          <w:sz w:val="26"/>
          <w:szCs w:val="26"/>
          <w:lang w:val="vi-VN"/>
        </w:rPr>
        <w:t>KT. CHỦ TỊCH</w:t>
      </w:r>
    </w:p>
    <w:p w:rsidR="009F0453" w:rsidRPr="00F37111" w:rsidRDefault="009F0453" w:rsidP="009F0453">
      <w:pPr>
        <w:tabs>
          <w:tab w:val="center" w:pos="5760"/>
        </w:tabs>
        <w:ind w:firstLine="709"/>
        <w:rPr>
          <w:lang w:val="vi-VN"/>
        </w:rPr>
      </w:pPr>
      <w:r w:rsidRPr="00F37111">
        <w:rPr>
          <w:sz w:val="22"/>
          <w:szCs w:val="22"/>
          <w:lang w:val="vi-VN"/>
        </w:rPr>
        <w:t xml:space="preserve">- Như Điều </w:t>
      </w:r>
      <w:r w:rsidR="0032063C">
        <w:rPr>
          <w:sz w:val="22"/>
          <w:szCs w:val="22"/>
        </w:rPr>
        <w:t>4</w:t>
      </w:r>
      <w:r w:rsidRPr="00F37111">
        <w:rPr>
          <w:sz w:val="22"/>
          <w:szCs w:val="22"/>
          <w:lang w:val="vi-VN"/>
        </w:rPr>
        <w:t>;</w:t>
      </w:r>
      <w:r w:rsidR="008D39AB">
        <w:rPr>
          <w:sz w:val="22"/>
          <w:szCs w:val="22"/>
        </w:rPr>
        <w:tab/>
      </w:r>
      <w:r w:rsidR="008D39AB">
        <w:rPr>
          <w:sz w:val="22"/>
          <w:szCs w:val="22"/>
        </w:rPr>
        <w:tab/>
      </w:r>
      <w:r w:rsidRPr="00F37111">
        <w:rPr>
          <w:sz w:val="22"/>
        </w:rPr>
        <w:t xml:space="preserve"> </w:t>
      </w:r>
      <w:r w:rsidRPr="00F37111">
        <w:rPr>
          <w:b/>
          <w:sz w:val="26"/>
          <w:szCs w:val="26"/>
          <w:lang w:val="vi-VN"/>
        </w:rPr>
        <w:t>PHÓ CHỦ TỊCH</w:t>
      </w:r>
    </w:p>
    <w:p w:rsidR="008D39AB" w:rsidRDefault="009F0453" w:rsidP="009F0453">
      <w:pPr>
        <w:tabs>
          <w:tab w:val="center" w:pos="-709"/>
          <w:tab w:val="center" w:pos="5760"/>
        </w:tabs>
        <w:ind w:firstLine="709"/>
        <w:rPr>
          <w:sz w:val="22"/>
          <w:szCs w:val="22"/>
        </w:rPr>
      </w:pPr>
      <w:r w:rsidRPr="00F37111">
        <w:rPr>
          <w:sz w:val="22"/>
          <w:szCs w:val="22"/>
          <w:lang w:val="vi-VN"/>
        </w:rPr>
        <w:t xml:space="preserve">- CT UBND thành phố;  </w:t>
      </w:r>
    </w:p>
    <w:p w:rsidR="0055760D" w:rsidRDefault="0055760D" w:rsidP="009F0453">
      <w:pPr>
        <w:tabs>
          <w:tab w:val="center" w:pos="-709"/>
          <w:tab w:val="center" w:pos="5760"/>
        </w:tabs>
        <w:ind w:firstLine="709"/>
        <w:rPr>
          <w:sz w:val="22"/>
          <w:szCs w:val="22"/>
        </w:rPr>
      </w:pPr>
      <w:r>
        <w:rPr>
          <w:sz w:val="22"/>
          <w:szCs w:val="22"/>
        </w:rPr>
        <w:t>- KBNN ĐN;</w:t>
      </w:r>
    </w:p>
    <w:p w:rsidR="0055760D" w:rsidRDefault="0055760D" w:rsidP="009F0453">
      <w:pPr>
        <w:tabs>
          <w:tab w:val="center" w:pos="-709"/>
          <w:tab w:val="center" w:pos="5760"/>
        </w:tabs>
        <w:ind w:firstLine="709"/>
        <w:rPr>
          <w:sz w:val="22"/>
          <w:szCs w:val="22"/>
        </w:rPr>
      </w:pPr>
      <w:r>
        <w:rPr>
          <w:sz w:val="22"/>
          <w:szCs w:val="22"/>
        </w:rPr>
        <w:t>- Sở Nội vụ;</w:t>
      </w:r>
    </w:p>
    <w:p w:rsidR="0055760D" w:rsidRPr="0055760D" w:rsidRDefault="0055760D" w:rsidP="009F0453">
      <w:pPr>
        <w:tabs>
          <w:tab w:val="center" w:pos="-709"/>
          <w:tab w:val="center" w:pos="5760"/>
        </w:tabs>
        <w:ind w:firstLine="709"/>
        <w:rPr>
          <w:sz w:val="22"/>
          <w:szCs w:val="22"/>
        </w:rPr>
      </w:pPr>
      <w:r>
        <w:rPr>
          <w:sz w:val="22"/>
          <w:szCs w:val="22"/>
        </w:rPr>
        <w:t>- CATP (PC65);</w:t>
      </w:r>
    </w:p>
    <w:p w:rsidR="0032063C" w:rsidRPr="0032063C" w:rsidRDefault="008D39AB" w:rsidP="0032063C">
      <w:pPr>
        <w:tabs>
          <w:tab w:val="center" w:pos="-709"/>
          <w:tab w:val="center" w:pos="5760"/>
        </w:tabs>
        <w:ind w:firstLine="709"/>
        <w:rPr>
          <w:sz w:val="22"/>
          <w:szCs w:val="22"/>
        </w:rPr>
      </w:pPr>
      <w:r>
        <w:rPr>
          <w:sz w:val="22"/>
          <w:szCs w:val="22"/>
        </w:rPr>
        <w:t>-</w:t>
      </w:r>
      <w:r w:rsidR="009F0453" w:rsidRPr="00F37111">
        <w:rPr>
          <w:sz w:val="22"/>
          <w:szCs w:val="22"/>
          <w:lang w:val="vi-VN"/>
        </w:rPr>
        <w:t xml:space="preserve"> </w:t>
      </w:r>
      <w:r w:rsidR="0032063C">
        <w:rPr>
          <w:sz w:val="22"/>
          <w:szCs w:val="22"/>
        </w:rPr>
        <w:t>Ban Tiếp Công dân TP;</w:t>
      </w:r>
      <w:r>
        <w:rPr>
          <w:sz w:val="22"/>
          <w:szCs w:val="22"/>
        </w:rPr>
        <w:t xml:space="preserve"> </w:t>
      </w:r>
      <w:r w:rsidR="0065756A">
        <w:rPr>
          <w:sz w:val="22"/>
          <w:szCs w:val="22"/>
        </w:rPr>
        <w:t xml:space="preserve">                                                                 </w:t>
      </w:r>
      <w:r w:rsidR="0065756A" w:rsidRPr="008D39AB">
        <w:rPr>
          <w:b/>
          <w:szCs w:val="28"/>
          <w:lang w:val="nl-NL"/>
        </w:rPr>
        <w:t>Võ Duy Khương</w:t>
      </w:r>
    </w:p>
    <w:p w:rsidR="009F0453" w:rsidRPr="00F37111" w:rsidRDefault="008D39AB" w:rsidP="0032063C">
      <w:pPr>
        <w:tabs>
          <w:tab w:val="center" w:pos="-709"/>
          <w:tab w:val="center" w:pos="5760"/>
        </w:tabs>
        <w:ind w:firstLine="709"/>
        <w:rPr>
          <w:sz w:val="22"/>
          <w:szCs w:val="22"/>
          <w:lang w:val="vi-VN"/>
        </w:rPr>
      </w:pPr>
      <w:r>
        <w:rPr>
          <w:sz w:val="22"/>
          <w:szCs w:val="22"/>
        </w:rPr>
        <w:t>-</w:t>
      </w:r>
      <w:r w:rsidR="0032063C">
        <w:rPr>
          <w:sz w:val="22"/>
          <w:szCs w:val="22"/>
        </w:rPr>
        <w:t xml:space="preserve"> </w:t>
      </w:r>
      <w:r w:rsidR="0055760D">
        <w:rPr>
          <w:sz w:val="22"/>
          <w:szCs w:val="22"/>
        </w:rPr>
        <w:t xml:space="preserve">P.QTTV, </w:t>
      </w:r>
      <w:r w:rsidR="009F0453" w:rsidRPr="00F37111">
        <w:rPr>
          <w:sz w:val="22"/>
          <w:szCs w:val="22"/>
          <w:lang w:val="vi-VN"/>
        </w:rPr>
        <w:t>P.KTTH, VX;</w:t>
      </w:r>
    </w:p>
    <w:p w:rsidR="009F0453" w:rsidRPr="00F37111" w:rsidRDefault="008D39AB" w:rsidP="0032063C">
      <w:pPr>
        <w:tabs>
          <w:tab w:val="center" w:pos="-709"/>
          <w:tab w:val="center" w:pos="5760"/>
        </w:tabs>
        <w:ind w:firstLine="709"/>
        <w:rPr>
          <w:sz w:val="22"/>
          <w:szCs w:val="22"/>
          <w:lang w:val="vi-VN"/>
        </w:rPr>
      </w:pPr>
      <w:r>
        <w:rPr>
          <w:sz w:val="22"/>
          <w:szCs w:val="22"/>
        </w:rPr>
        <w:t>-</w:t>
      </w:r>
      <w:r w:rsidR="009F0453" w:rsidRPr="00F37111">
        <w:rPr>
          <w:sz w:val="22"/>
          <w:szCs w:val="22"/>
          <w:lang w:val="vi-VN"/>
        </w:rPr>
        <w:t xml:space="preserve"> Cổng TTĐT TP.                                                   </w:t>
      </w:r>
    </w:p>
    <w:p w:rsidR="009F0453" w:rsidRPr="008D39AB" w:rsidRDefault="009F0453" w:rsidP="009F0453">
      <w:pPr>
        <w:tabs>
          <w:tab w:val="center" w:pos="-709"/>
          <w:tab w:val="center" w:pos="5760"/>
        </w:tabs>
        <w:ind w:firstLine="709"/>
        <w:rPr>
          <w:b/>
          <w:szCs w:val="28"/>
          <w:lang w:val="nl-NL"/>
        </w:rPr>
      </w:pPr>
      <w:r w:rsidRPr="00F37111">
        <w:rPr>
          <w:sz w:val="22"/>
          <w:szCs w:val="22"/>
          <w:lang w:val="nl-NL"/>
        </w:rPr>
        <w:t>- Lưu: VT, VX (Hiệp).</w:t>
      </w:r>
      <w:r w:rsidR="008D39AB">
        <w:rPr>
          <w:sz w:val="22"/>
          <w:szCs w:val="22"/>
          <w:lang w:val="nl-NL"/>
        </w:rPr>
        <w:t xml:space="preserve"> </w:t>
      </w:r>
      <w:r w:rsidR="008D39AB">
        <w:rPr>
          <w:sz w:val="22"/>
          <w:szCs w:val="22"/>
          <w:lang w:val="nl-NL"/>
        </w:rPr>
        <w:tab/>
      </w:r>
      <w:r w:rsidR="008D39AB">
        <w:rPr>
          <w:sz w:val="22"/>
          <w:szCs w:val="22"/>
          <w:lang w:val="nl-NL"/>
        </w:rPr>
        <w:tab/>
      </w:r>
    </w:p>
    <w:p w:rsidR="009F0453" w:rsidRPr="00F37111" w:rsidRDefault="009F0453" w:rsidP="009F0453">
      <w:pPr>
        <w:tabs>
          <w:tab w:val="center" w:pos="-709"/>
          <w:tab w:val="center" w:pos="5760"/>
        </w:tabs>
        <w:ind w:firstLine="709"/>
        <w:rPr>
          <w:sz w:val="22"/>
          <w:szCs w:val="22"/>
          <w:lang w:val="nl-NL"/>
        </w:rPr>
      </w:pPr>
    </w:p>
    <w:p w:rsidR="009F0453" w:rsidRDefault="009F0453" w:rsidP="009F0453">
      <w:pPr>
        <w:tabs>
          <w:tab w:val="center" w:pos="-709"/>
          <w:tab w:val="center" w:pos="5760"/>
        </w:tabs>
        <w:ind w:firstLine="709"/>
        <w:rPr>
          <w:sz w:val="22"/>
          <w:szCs w:val="22"/>
          <w:lang w:val="nl-NL"/>
        </w:rPr>
      </w:pPr>
    </w:p>
    <w:p w:rsidR="0032063C" w:rsidRDefault="0032063C" w:rsidP="009F0453">
      <w:pPr>
        <w:tabs>
          <w:tab w:val="center" w:pos="-709"/>
          <w:tab w:val="center" w:pos="5760"/>
        </w:tabs>
        <w:ind w:firstLine="709"/>
        <w:rPr>
          <w:sz w:val="22"/>
          <w:szCs w:val="22"/>
          <w:lang w:val="nl-NL"/>
        </w:rPr>
      </w:pPr>
    </w:p>
    <w:sectPr w:rsidR="0032063C" w:rsidSect="00645294">
      <w:headerReference w:type="even" r:id="rId6"/>
      <w:headerReference w:type="default" r:id="rId7"/>
      <w:pgSz w:w="11907" w:h="16840" w:code="9"/>
      <w:pgMar w:top="1134" w:right="1134" w:bottom="851" w:left="1701"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9CE" w:rsidRDefault="00CB69CE">
      <w:r>
        <w:separator/>
      </w:r>
    </w:p>
  </w:endnote>
  <w:endnote w:type="continuationSeparator" w:id="0">
    <w:p w:rsidR="00CB69CE" w:rsidRDefault="00CB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9CE" w:rsidRDefault="00CB69CE">
      <w:r>
        <w:separator/>
      </w:r>
    </w:p>
  </w:footnote>
  <w:footnote w:type="continuationSeparator" w:id="0">
    <w:p w:rsidR="00CB69CE" w:rsidRDefault="00CB6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AB" w:rsidRDefault="008D39AB" w:rsidP="008D39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9AB" w:rsidRDefault="008D3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AB" w:rsidRDefault="008D39AB">
    <w:pPr>
      <w:pStyle w:val="Header"/>
      <w:jc w:val="center"/>
    </w:pPr>
    <w:r>
      <w:fldChar w:fldCharType="begin"/>
    </w:r>
    <w:r>
      <w:instrText xml:space="preserve"> PAGE   \* MERGEFORMAT </w:instrText>
    </w:r>
    <w:r>
      <w:fldChar w:fldCharType="separate"/>
    </w:r>
    <w:r w:rsidR="00631195">
      <w:rPr>
        <w:noProof/>
      </w:rPr>
      <w:t>2</w:t>
    </w:r>
    <w:r>
      <w:fldChar w:fldCharType="end"/>
    </w:r>
  </w:p>
  <w:p w:rsidR="008D39AB" w:rsidRDefault="008D39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53"/>
    <w:rsid w:val="0000072A"/>
    <w:rsid w:val="001A4260"/>
    <w:rsid w:val="001B338F"/>
    <w:rsid w:val="001B509A"/>
    <w:rsid w:val="001E3FE3"/>
    <w:rsid w:val="0023532A"/>
    <w:rsid w:val="00261EF8"/>
    <w:rsid w:val="0032063C"/>
    <w:rsid w:val="003678C6"/>
    <w:rsid w:val="003E6938"/>
    <w:rsid w:val="003F1F10"/>
    <w:rsid w:val="00401636"/>
    <w:rsid w:val="00401722"/>
    <w:rsid w:val="004721FD"/>
    <w:rsid w:val="004A5341"/>
    <w:rsid w:val="004D4B43"/>
    <w:rsid w:val="0055760D"/>
    <w:rsid w:val="00561CE4"/>
    <w:rsid w:val="005F2743"/>
    <w:rsid w:val="00605DBA"/>
    <w:rsid w:val="00631195"/>
    <w:rsid w:val="00645294"/>
    <w:rsid w:val="0065756A"/>
    <w:rsid w:val="00696F9D"/>
    <w:rsid w:val="007E015F"/>
    <w:rsid w:val="00815E14"/>
    <w:rsid w:val="00882E15"/>
    <w:rsid w:val="00890ADC"/>
    <w:rsid w:val="008D39AB"/>
    <w:rsid w:val="008F0106"/>
    <w:rsid w:val="00956892"/>
    <w:rsid w:val="009C0023"/>
    <w:rsid w:val="009F0453"/>
    <w:rsid w:val="00B07FB3"/>
    <w:rsid w:val="00B7203D"/>
    <w:rsid w:val="00BD422E"/>
    <w:rsid w:val="00C87378"/>
    <w:rsid w:val="00CB69CE"/>
    <w:rsid w:val="00CE6A71"/>
    <w:rsid w:val="00CF5B83"/>
    <w:rsid w:val="00E402A3"/>
    <w:rsid w:val="00E60ACF"/>
    <w:rsid w:val="00E81F22"/>
    <w:rsid w:val="00ED7EAC"/>
    <w:rsid w:val="00EF06E5"/>
    <w:rsid w:val="00FD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B575D07-12E6-4A0C-8215-01C7F3E9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453"/>
    <w:rPr>
      <w:rFonts w:eastAsia="Times New Roman"/>
      <w:sz w:val="28"/>
      <w:szCs w:val="24"/>
    </w:rPr>
  </w:style>
  <w:style w:type="paragraph" w:styleId="Heading1">
    <w:name w:val="heading 1"/>
    <w:basedOn w:val="Normal"/>
    <w:next w:val="Normal"/>
    <w:link w:val="Heading1Char"/>
    <w:qFormat/>
    <w:rsid w:val="009F0453"/>
    <w:pPr>
      <w:keepNext/>
      <w:outlineLvl w:val="0"/>
    </w:pPr>
    <w:rPr>
      <w:b/>
      <w:bCs/>
      <w:sz w:val="24"/>
    </w:rPr>
  </w:style>
  <w:style w:type="paragraph" w:styleId="Heading2">
    <w:name w:val="heading 2"/>
    <w:basedOn w:val="Normal"/>
    <w:next w:val="Normal"/>
    <w:link w:val="Heading2Char"/>
    <w:qFormat/>
    <w:rsid w:val="009F0453"/>
    <w:pPr>
      <w:keepNext/>
      <w:jc w:val="center"/>
      <w:outlineLvl w:val="1"/>
    </w:pPr>
    <w:rPr>
      <w:b/>
      <w:bCs/>
      <w:sz w:val="24"/>
    </w:rPr>
  </w:style>
  <w:style w:type="paragraph" w:styleId="Heading3">
    <w:name w:val="heading 3"/>
    <w:basedOn w:val="Normal"/>
    <w:next w:val="Normal"/>
    <w:link w:val="Heading3Char"/>
    <w:qFormat/>
    <w:rsid w:val="009F0453"/>
    <w:pPr>
      <w:keepNext/>
      <w:jc w:val="center"/>
      <w:outlineLvl w:val="2"/>
    </w:pPr>
    <w:rPr>
      <w:b/>
      <w:bCs/>
    </w:rPr>
  </w:style>
  <w:style w:type="paragraph" w:styleId="Heading4">
    <w:name w:val="heading 4"/>
    <w:basedOn w:val="Normal"/>
    <w:next w:val="Normal"/>
    <w:link w:val="Heading4Char"/>
    <w:qFormat/>
    <w:rsid w:val="009F0453"/>
    <w:pPr>
      <w:keepNext/>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0453"/>
    <w:rPr>
      <w:rFonts w:eastAsia="Times New Roman"/>
      <w:b/>
      <w:bCs/>
      <w:sz w:val="24"/>
      <w:szCs w:val="24"/>
    </w:rPr>
  </w:style>
  <w:style w:type="character" w:customStyle="1" w:styleId="Heading2Char">
    <w:name w:val="Heading 2 Char"/>
    <w:link w:val="Heading2"/>
    <w:rsid w:val="009F0453"/>
    <w:rPr>
      <w:rFonts w:eastAsia="Times New Roman"/>
      <w:b/>
      <w:bCs/>
      <w:sz w:val="24"/>
      <w:szCs w:val="24"/>
    </w:rPr>
  </w:style>
  <w:style w:type="character" w:customStyle="1" w:styleId="Heading3Char">
    <w:name w:val="Heading 3 Char"/>
    <w:link w:val="Heading3"/>
    <w:rsid w:val="009F0453"/>
    <w:rPr>
      <w:rFonts w:eastAsia="Times New Roman"/>
      <w:b/>
      <w:bCs/>
      <w:sz w:val="28"/>
      <w:szCs w:val="24"/>
    </w:rPr>
  </w:style>
  <w:style w:type="character" w:customStyle="1" w:styleId="Heading4Char">
    <w:name w:val="Heading 4 Char"/>
    <w:link w:val="Heading4"/>
    <w:rsid w:val="009F0453"/>
    <w:rPr>
      <w:rFonts w:eastAsia="Times New Roman"/>
      <w:sz w:val="28"/>
      <w:szCs w:val="24"/>
    </w:rPr>
  </w:style>
  <w:style w:type="paragraph" w:styleId="BodyText">
    <w:name w:val="Body Text"/>
    <w:basedOn w:val="Normal"/>
    <w:link w:val="BodyTextChar"/>
    <w:rsid w:val="009F0453"/>
    <w:pPr>
      <w:jc w:val="center"/>
    </w:pPr>
    <w:rPr>
      <w:b/>
      <w:bCs/>
      <w:sz w:val="24"/>
    </w:rPr>
  </w:style>
  <w:style w:type="character" w:customStyle="1" w:styleId="BodyTextChar">
    <w:name w:val="Body Text Char"/>
    <w:link w:val="BodyText"/>
    <w:rsid w:val="009F0453"/>
    <w:rPr>
      <w:rFonts w:eastAsia="Times New Roman"/>
      <w:b/>
      <w:bCs/>
      <w:sz w:val="24"/>
      <w:szCs w:val="24"/>
    </w:rPr>
  </w:style>
  <w:style w:type="paragraph" w:styleId="BodyText2">
    <w:name w:val="Body Text 2"/>
    <w:basedOn w:val="Normal"/>
    <w:link w:val="BodyText2Char"/>
    <w:rsid w:val="009F0453"/>
    <w:pPr>
      <w:jc w:val="both"/>
    </w:pPr>
  </w:style>
  <w:style w:type="character" w:customStyle="1" w:styleId="BodyText2Char">
    <w:name w:val="Body Text 2 Char"/>
    <w:link w:val="BodyText2"/>
    <w:rsid w:val="009F0453"/>
    <w:rPr>
      <w:rFonts w:eastAsia="Times New Roman"/>
      <w:sz w:val="28"/>
      <w:szCs w:val="24"/>
    </w:rPr>
  </w:style>
  <w:style w:type="paragraph" w:styleId="Header">
    <w:name w:val="header"/>
    <w:basedOn w:val="Normal"/>
    <w:link w:val="HeaderChar"/>
    <w:uiPriority w:val="99"/>
    <w:rsid w:val="009F0453"/>
    <w:pPr>
      <w:tabs>
        <w:tab w:val="center" w:pos="4320"/>
        <w:tab w:val="right" w:pos="8640"/>
      </w:tabs>
    </w:pPr>
    <w:rPr>
      <w:szCs w:val="28"/>
    </w:rPr>
  </w:style>
  <w:style w:type="character" w:customStyle="1" w:styleId="HeaderChar">
    <w:name w:val="Header Char"/>
    <w:link w:val="Header"/>
    <w:uiPriority w:val="99"/>
    <w:rsid w:val="009F0453"/>
    <w:rPr>
      <w:rFonts w:eastAsia="Times New Roman"/>
      <w:sz w:val="28"/>
      <w:szCs w:val="28"/>
    </w:rPr>
  </w:style>
  <w:style w:type="character" w:styleId="PageNumber">
    <w:name w:val="page number"/>
    <w:rsid w:val="009F0453"/>
  </w:style>
  <w:style w:type="paragraph" w:styleId="BodyTextIndent">
    <w:name w:val="Body Text Indent"/>
    <w:basedOn w:val="Normal"/>
    <w:link w:val="BodyTextIndentChar"/>
    <w:rsid w:val="009F0453"/>
    <w:pPr>
      <w:ind w:firstLine="567"/>
      <w:jc w:val="both"/>
    </w:pPr>
    <w:rPr>
      <w:sz w:val="26"/>
      <w:szCs w:val="20"/>
    </w:rPr>
  </w:style>
  <w:style w:type="character" w:customStyle="1" w:styleId="BodyTextIndentChar">
    <w:name w:val="Body Text Indent Char"/>
    <w:link w:val="BodyTextIndent"/>
    <w:rsid w:val="009F0453"/>
    <w:rPr>
      <w:rFonts w:eastAsia="Times New Roman"/>
      <w:sz w:val="26"/>
    </w:rPr>
  </w:style>
  <w:style w:type="paragraph" w:styleId="BodyText3">
    <w:name w:val="Body Text 3"/>
    <w:basedOn w:val="Normal"/>
    <w:link w:val="BodyText3Char"/>
    <w:rsid w:val="009F0453"/>
    <w:pPr>
      <w:spacing w:after="120"/>
    </w:pPr>
    <w:rPr>
      <w:sz w:val="16"/>
      <w:szCs w:val="16"/>
    </w:rPr>
  </w:style>
  <w:style w:type="character" w:customStyle="1" w:styleId="BodyText3Char">
    <w:name w:val="Body Text 3 Char"/>
    <w:link w:val="BodyText3"/>
    <w:rsid w:val="009F0453"/>
    <w:rPr>
      <w:rFonts w:eastAsia="Times New Roman"/>
      <w:sz w:val="16"/>
      <w:szCs w:val="16"/>
    </w:rPr>
  </w:style>
  <w:style w:type="paragraph" w:styleId="BodyTextIndent3">
    <w:name w:val="Body Text Indent 3"/>
    <w:basedOn w:val="Normal"/>
    <w:link w:val="BodyTextIndent3Char"/>
    <w:rsid w:val="009F0453"/>
    <w:pPr>
      <w:spacing w:after="120"/>
      <w:ind w:left="360"/>
    </w:pPr>
    <w:rPr>
      <w:sz w:val="16"/>
      <w:szCs w:val="16"/>
    </w:rPr>
  </w:style>
  <w:style w:type="character" w:customStyle="1" w:styleId="BodyTextIndent3Char">
    <w:name w:val="Body Text Indent 3 Char"/>
    <w:link w:val="BodyTextIndent3"/>
    <w:rsid w:val="009F0453"/>
    <w:rPr>
      <w:rFonts w:eastAsia="Times New Roman"/>
      <w:sz w:val="16"/>
      <w:szCs w:val="16"/>
    </w:rPr>
  </w:style>
  <w:style w:type="paragraph" w:customStyle="1" w:styleId="Char">
    <w:name w:val="Char"/>
    <w:basedOn w:val="Normal"/>
    <w:rsid w:val="009F0453"/>
    <w:pPr>
      <w:spacing w:after="160" w:line="240" w:lineRule="exact"/>
    </w:pPr>
    <w:rPr>
      <w:rFonts w:ascii="Verdana" w:hAnsi="Verdana"/>
      <w:sz w:val="20"/>
      <w:szCs w:val="20"/>
    </w:rPr>
  </w:style>
  <w:style w:type="paragraph" w:customStyle="1" w:styleId="Char0">
    <w:name w:val=" Char"/>
    <w:basedOn w:val="Normal"/>
    <w:rsid w:val="00956892"/>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UỶ BAN NHÂN DÂN</vt:lpstr>
    </vt:vector>
  </TitlesOfParts>
  <Company>UBND TP DN</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Hieptd</dc:creator>
  <cp:keywords/>
  <dc:description/>
  <cp:lastModifiedBy>Truong Cong Nguyen Thanh</cp:lastModifiedBy>
  <cp:revision>3</cp:revision>
  <dcterms:created xsi:type="dcterms:W3CDTF">2021-04-16T08:45:00Z</dcterms:created>
  <dcterms:modified xsi:type="dcterms:W3CDTF">2021-04-16T08:45:00Z</dcterms:modified>
</cp:coreProperties>
</file>