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8" w:type="dxa"/>
        <w:tblInd w:w="-318" w:type="dxa"/>
        <w:tblLayout w:type="fixed"/>
        <w:tblLook w:val="0000" w:firstRow="0" w:lastRow="0" w:firstColumn="0" w:lastColumn="0" w:noHBand="0" w:noVBand="0"/>
      </w:tblPr>
      <w:tblGrid>
        <w:gridCol w:w="710"/>
        <w:gridCol w:w="4260"/>
        <w:gridCol w:w="1288"/>
        <w:gridCol w:w="2520"/>
        <w:gridCol w:w="1440"/>
      </w:tblGrid>
      <w:tr w:rsidR="00C06453" w:rsidRPr="00C06453" w:rsidTr="0006060E">
        <w:trPr>
          <w:trHeight w:val="420"/>
        </w:trPr>
        <w:tc>
          <w:tcPr>
            <w:tcW w:w="10218" w:type="dxa"/>
            <w:gridSpan w:val="5"/>
            <w:tcBorders>
              <w:top w:val="nil"/>
              <w:left w:val="nil"/>
              <w:bottom w:val="nil"/>
              <w:right w:val="nil"/>
            </w:tcBorders>
            <w:shd w:val="clear" w:color="auto" w:fill="auto"/>
            <w:vAlign w:val="center"/>
          </w:tcPr>
          <w:p w:rsidR="00C06453" w:rsidRPr="00C06453" w:rsidRDefault="00531E59" w:rsidP="00C06453">
            <w:pPr>
              <w:tabs>
                <w:tab w:val="left" w:pos="602"/>
                <w:tab w:val="left" w:pos="1454"/>
                <w:tab w:val="left" w:pos="3016"/>
                <w:tab w:val="left" w:pos="5146"/>
                <w:tab w:val="left" w:pos="6140"/>
                <w:tab w:val="left" w:pos="7702"/>
                <w:tab w:val="left" w:pos="9264"/>
                <w:tab w:val="left" w:pos="10968"/>
              </w:tabs>
              <w:ind w:left="460" w:hanging="392"/>
              <w:jc w:val="center"/>
              <w:rPr>
                <w:b/>
                <w:bCs/>
              </w:rPr>
            </w:pPr>
            <w:r>
              <w:rPr>
                <w:b/>
                <w:bCs/>
              </w:rPr>
              <w:t xml:space="preserve">PHỤ LỤC SỐ </w:t>
            </w:r>
            <w:r w:rsidR="00C06453" w:rsidRPr="00C06453">
              <w:rPr>
                <w:b/>
                <w:bCs/>
              </w:rPr>
              <w:t>1</w:t>
            </w:r>
          </w:p>
        </w:tc>
      </w:tr>
      <w:tr w:rsidR="00C06453" w:rsidRPr="00C06453" w:rsidTr="0006060E">
        <w:trPr>
          <w:trHeight w:val="450"/>
        </w:trPr>
        <w:tc>
          <w:tcPr>
            <w:tcW w:w="10218" w:type="dxa"/>
            <w:gridSpan w:val="5"/>
            <w:tcBorders>
              <w:top w:val="nil"/>
              <w:left w:val="nil"/>
              <w:bottom w:val="nil"/>
              <w:right w:val="nil"/>
            </w:tcBorders>
            <w:shd w:val="clear" w:color="auto" w:fill="auto"/>
            <w:vAlign w:val="center"/>
          </w:tcPr>
          <w:p w:rsidR="00C06453" w:rsidRPr="00310E5E" w:rsidRDefault="00C06453" w:rsidP="00C06453">
            <w:pPr>
              <w:jc w:val="center"/>
              <w:rPr>
                <w:b/>
                <w:bCs/>
                <w:sz w:val="26"/>
                <w:szCs w:val="26"/>
              </w:rPr>
            </w:pPr>
            <w:r w:rsidRPr="00310E5E">
              <w:rPr>
                <w:b/>
                <w:bCs/>
                <w:sz w:val="26"/>
                <w:szCs w:val="26"/>
              </w:rPr>
              <w:t>Mức chi cho công tác điều ước quốc tế, công tác thỏa thuận quốc tế của các cơ quan, đơn vị trên địa bàn TP Đà Nẵng</w:t>
            </w:r>
          </w:p>
        </w:tc>
      </w:tr>
      <w:tr w:rsidR="00C06453" w:rsidRPr="00C06453" w:rsidTr="0006060E">
        <w:trPr>
          <w:trHeight w:val="480"/>
        </w:trPr>
        <w:tc>
          <w:tcPr>
            <w:tcW w:w="10218" w:type="dxa"/>
            <w:gridSpan w:val="5"/>
            <w:tcBorders>
              <w:top w:val="nil"/>
              <w:left w:val="nil"/>
              <w:bottom w:val="nil"/>
              <w:right w:val="nil"/>
            </w:tcBorders>
            <w:shd w:val="clear" w:color="auto" w:fill="auto"/>
            <w:vAlign w:val="center"/>
          </w:tcPr>
          <w:p w:rsidR="00C06453" w:rsidRPr="00310E5E" w:rsidRDefault="00370B8E" w:rsidP="00C06453">
            <w:pPr>
              <w:jc w:val="center"/>
              <w:rPr>
                <w:i/>
                <w:iCs/>
                <w:sz w:val="22"/>
                <w:szCs w:val="22"/>
              </w:rPr>
            </w:pPr>
            <w:r>
              <w:rPr>
                <w:i/>
                <w:iCs/>
                <w:sz w:val="22"/>
                <w:szCs w:val="22"/>
              </w:rPr>
              <w:t>(Kèm theo Nghị quyết số:</w:t>
            </w:r>
            <w:r w:rsidR="00C06453" w:rsidRPr="00310E5E">
              <w:rPr>
                <w:i/>
                <w:iCs/>
                <w:sz w:val="22"/>
                <w:szCs w:val="22"/>
              </w:rPr>
              <w:t xml:space="preserve"> </w:t>
            </w:r>
            <w:r w:rsidR="00310E5E" w:rsidRPr="00310E5E">
              <w:rPr>
                <w:i/>
                <w:iCs/>
                <w:sz w:val="22"/>
                <w:szCs w:val="22"/>
              </w:rPr>
              <w:t>60</w:t>
            </w:r>
            <w:r w:rsidR="00C06453" w:rsidRPr="00310E5E">
              <w:rPr>
                <w:i/>
                <w:iCs/>
                <w:sz w:val="22"/>
                <w:szCs w:val="22"/>
              </w:rPr>
              <w:t xml:space="preserve"> /2014/NQ-HĐND ngày </w:t>
            </w:r>
            <w:r w:rsidR="00310E5E" w:rsidRPr="00310E5E">
              <w:rPr>
                <w:i/>
                <w:iCs/>
                <w:sz w:val="22"/>
                <w:szCs w:val="22"/>
              </w:rPr>
              <w:t>10</w:t>
            </w:r>
            <w:r w:rsidR="00C06453" w:rsidRPr="00310E5E">
              <w:rPr>
                <w:i/>
                <w:iCs/>
                <w:sz w:val="22"/>
                <w:szCs w:val="22"/>
              </w:rPr>
              <w:t xml:space="preserve">  tháng </w:t>
            </w:r>
            <w:r w:rsidR="00310E5E" w:rsidRPr="00310E5E">
              <w:rPr>
                <w:i/>
                <w:iCs/>
                <w:sz w:val="22"/>
                <w:szCs w:val="22"/>
              </w:rPr>
              <w:t>7</w:t>
            </w:r>
            <w:r>
              <w:rPr>
                <w:i/>
                <w:iCs/>
                <w:sz w:val="22"/>
                <w:szCs w:val="22"/>
              </w:rPr>
              <w:t xml:space="preserve"> </w:t>
            </w:r>
            <w:r w:rsidR="00C06453" w:rsidRPr="00310E5E">
              <w:rPr>
                <w:i/>
                <w:iCs/>
                <w:sz w:val="22"/>
                <w:szCs w:val="22"/>
              </w:rPr>
              <w:t xml:space="preserve"> năm 2014 của HĐND thành phố Đà Nẵng)</w:t>
            </w:r>
          </w:p>
        </w:tc>
      </w:tr>
      <w:tr w:rsidR="00C06453" w:rsidRPr="00C06453" w:rsidTr="0006060E">
        <w:trPr>
          <w:trHeight w:val="10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b/>
                <w:bCs/>
                <w:sz w:val="26"/>
                <w:szCs w:val="26"/>
              </w:rPr>
            </w:pPr>
            <w:r w:rsidRPr="00C06453">
              <w:rPr>
                <w:b/>
                <w:bCs/>
                <w:sz w:val="26"/>
                <w:szCs w:val="26"/>
              </w:rPr>
              <w:t>Stt</w:t>
            </w:r>
          </w:p>
        </w:tc>
        <w:tc>
          <w:tcPr>
            <w:tcW w:w="4260" w:type="dxa"/>
            <w:tcBorders>
              <w:top w:val="single" w:sz="4" w:space="0" w:color="auto"/>
              <w:left w:val="nil"/>
              <w:bottom w:val="single" w:sz="4" w:space="0" w:color="auto"/>
              <w:right w:val="single" w:sz="4" w:space="0" w:color="auto"/>
            </w:tcBorders>
            <w:shd w:val="clear" w:color="auto" w:fill="auto"/>
            <w:vAlign w:val="center"/>
          </w:tcPr>
          <w:p w:rsidR="00C06453" w:rsidRPr="00C06453" w:rsidRDefault="00C06453" w:rsidP="00C06453">
            <w:pPr>
              <w:jc w:val="center"/>
              <w:rPr>
                <w:b/>
                <w:bCs/>
                <w:sz w:val="26"/>
                <w:szCs w:val="26"/>
              </w:rPr>
            </w:pPr>
            <w:r w:rsidRPr="00C06453">
              <w:rPr>
                <w:b/>
                <w:bCs/>
                <w:sz w:val="26"/>
                <w:szCs w:val="26"/>
              </w:rPr>
              <w:t>Nội dung chi</w:t>
            </w:r>
          </w:p>
        </w:tc>
        <w:tc>
          <w:tcPr>
            <w:tcW w:w="1288" w:type="dxa"/>
            <w:tcBorders>
              <w:top w:val="single" w:sz="4" w:space="0" w:color="auto"/>
              <w:left w:val="nil"/>
              <w:bottom w:val="single" w:sz="4" w:space="0" w:color="auto"/>
              <w:right w:val="single" w:sz="4" w:space="0" w:color="auto"/>
            </w:tcBorders>
            <w:shd w:val="clear" w:color="auto" w:fill="auto"/>
            <w:vAlign w:val="center"/>
          </w:tcPr>
          <w:p w:rsidR="00C06453" w:rsidRPr="00C06453" w:rsidRDefault="00C06453" w:rsidP="00C06453">
            <w:pPr>
              <w:jc w:val="center"/>
              <w:rPr>
                <w:b/>
                <w:bCs/>
                <w:sz w:val="26"/>
                <w:szCs w:val="26"/>
              </w:rPr>
            </w:pPr>
            <w:r w:rsidRPr="00C06453">
              <w:rPr>
                <w:b/>
                <w:bCs/>
                <w:sz w:val="26"/>
                <w:szCs w:val="26"/>
              </w:rPr>
              <w:t>Đơn vị tính</w:t>
            </w:r>
          </w:p>
        </w:tc>
        <w:tc>
          <w:tcPr>
            <w:tcW w:w="2520" w:type="dxa"/>
            <w:tcBorders>
              <w:top w:val="single" w:sz="4" w:space="0" w:color="auto"/>
              <w:left w:val="nil"/>
              <w:bottom w:val="single" w:sz="4" w:space="0" w:color="auto"/>
              <w:right w:val="single" w:sz="4" w:space="0" w:color="auto"/>
            </w:tcBorders>
            <w:shd w:val="clear" w:color="auto" w:fill="auto"/>
            <w:vAlign w:val="center"/>
          </w:tcPr>
          <w:p w:rsidR="00C06453" w:rsidRPr="00C06453" w:rsidRDefault="00C06453" w:rsidP="00C06453">
            <w:pPr>
              <w:jc w:val="center"/>
              <w:rPr>
                <w:b/>
                <w:bCs/>
                <w:sz w:val="26"/>
                <w:szCs w:val="26"/>
              </w:rPr>
            </w:pPr>
            <w:r w:rsidRPr="00C06453">
              <w:rPr>
                <w:b/>
                <w:bCs/>
                <w:sz w:val="26"/>
                <w:szCs w:val="26"/>
              </w:rPr>
              <w:t>Định mức chi</w:t>
            </w:r>
          </w:p>
        </w:tc>
        <w:tc>
          <w:tcPr>
            <w:tcW w:w="1440" w:type="dxa"/>
            <w:tcBorders>
              <w:top w:val="single" w:sz="4" w:space="0" w:color="auto"/>
              <w:left w:val="nil"/>
              <w:bottom w:val="single" w:sz="4" w:space="0" w:color="auto"/>
              <w:right w:val="single" w:sz="4" w:space="0" w:color="auto"/>
            </w:tcBorders>
            <w:shd w:val="clear" w:color="auto" w:fill="auto"/>
            <w:vAlign w:val="center"/>
          </w:tcPr>
          <w:p w:rsidR="00C06453" w:rsidRPr="00C06453" w:rsidRDefault="00C06453" w:rsidP="00C06453">
            <w:pPr>
              <w:jc w:val="center"/>
              <w:rPr>
                <w:b/>
                <w:bCs/>
                <w:sz w:val="26"/>
                <w:szCs w:val="26"/>
              </w:rPr>
            </w:pPr>
            <w:bookmarkStart w:id="0" w:name="_GoBack"/>
            <w:bookmarkEnd w:id="0"/>
            <w:r w:rsidRPr="00C06453">
              <w:rPr>
                <w:b/>
                <w:bCs/>
                <w:sz w:val="26"/>
                <w:szCs w:val="26"/>
              </w:rPr>
              <w:t>Ghi chú</w:t>
            </w:r>
          </w:p>
        </w:tc>
      </w:tr>
      <w:tr w:rsidR="00C06453" w:rsidRPr="00C06453" w:rsidTr="0006060E">
        <w:trPr>
          <w:trHeight w:val="1485"/>
        </w:trPr>
        <w:tc>
          <w:tcPr>
            <w:tcW w:w="710" w:type="dxa"/>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1</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Chi tổ chức hội nghị trong nước, công tác phí cho cán bộ đi công tác trong nước; công tác phí cho cán bộ đi công tác ở nước ngoài; chi làm đêm, làm thêm giờ</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b/>
                <w:bCs/>
                <w:sz w:val="24"/>
                <w:szCs w:val="24"/>
              </w:rPr>
            </w:pPr>
            <w:r w:rsidRPr="00310E5E">
              <w:rPr>
                <w:b/>
                <w:bCs/>
                <w:sz w:val="24"/>
                <w:szCs w:val="24"/>
              </w:rPr>
              <w:t> </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 xml:space="preserve">Thực hiện theo các chế độ quy định hiện hành </w:t>
            </w:r>
          </w:p>
        </w:tc>
        <w:tc>
          <w:tcPr>
            <w:tcW w:w="1440" w:type="dxa"/>
            <w:tcBorders>
              <w:top w:val="nil"/>
              <w:left w:val="nil"/>
              <w:bottom w:val="single" w:sz="4" w:space="0" w:color="auto"/>
              <w:right w:val="single" w:sz="4" w:space="0" w:color="auto"/>
            </w:tcBorders>
            <w:shd w:val="clear" w:color="auto" w:fill="auto"/>
            <w:vAlign w:val="center"/>
          </w:tcPr>
          <w:p w:rsidR="00C06453" w:rsidRPr="00C06453" w:rsidRDefault="00C06453" w:rsidP="00C06453">
            <w:pPr>
              <w:jc w:val="center"/>
              <w:rPr>
                <w:b/>
                <w:bCs/>
                <w:sz w:val="26"/>
                <w:szCs w:val="26"/>
              </w:rPr>
            </w:pPr>
            <w:r w:rsidRPr="00C06453">
              <w:rPr>
                <w:b/>
                <w:bCs/>
                <w:sz w:val="26"/>
                <w:szCs w:val="26"/>
              </w:rPr>
              <w:t> </w:t>
            </w:r>
          </w:p>
        </w:tc>
      </w:tr>
      <w:tr w:rsidR="00C06453" w:rsidRPr="00C06453" w:rsidTr="0006060E">
        <w:trPr>
          <w:trHeight w:val="2040"/>
        </w:trPr>
        <w:tc>
          <w:tcPr>
            <w:tcW w:w="710" w:type="dxa"/>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2</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 xml:space="preserve">Chi rà soát văn bản trong nước và rà soát, thống kê các điều ước quốc tế, thỏa thuận quốc tế trong cùng lĩnh vực phục vụ trực tiếp công tác xây dựng điều ước quốc tế, thỏa thuận quốc tế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Thực hiện theo chế độ quy định hiện hành về quản lý và sử dụng kinh phí cho công tác kiểm tra, xử lý, rà soát, hệ thống hóa văn bản quy phạm pháp luật</w:t>
            </w:r>
          </w:p>
        </w:tc>
        <w:tc>
          <w:tcPr>
            <w:tcW w:w="1440" w:type="dxa"/>
            <w:tcBorders>
              <w:top w:val="nil"/>
              <w:left w:val="nil"/>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4035"/>
        </w:trPr>
        <w:tc>
          <w:tcPr>
            <w:tcW w:w="710" w:type="dxa"/>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3</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 xml:space="preserve">Công tác nghiên cứu xây dựng phương án đàm phán phục vụ cho việc đề xuất đám phán điều ước quốc tế; nghiên cứu xây dựng báo cáo chuyên đề; báo cáo đánh giá tính hợp hiến, mức độ tương thích của điều ước quốc tế với các quy định của pháp luật Việt Nam và kiến nghị các biên pháp sửa đổi, bổ sung, bãi bỏ hoặc ban hành mới văn bản quy phạm pháp luật để thực hiện điều ước quốc tế, thỏa thuận quốc tế; báo cáo đánh giá sự phù hợp của điều ước quốc tế với các nguyên tắc cơ bản của luật pháp quốc tế; báo cáo rà soát các điều ước quốc tế cùng lĩnh vực và đánh giá sự phù hợp của điều ước quốc tế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 </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Thực hiện theo chế độ quy định hiện hành về hướng dẫn định mức và phân bổ dự toán kinh phí đối với các đề tài, dự án khoa học và công nghệ có sử dụng ngân sách nhà nước tại Quyết định 03/2009/QĐ-UBND ngày 18/02/2009 của UBND TP  Đà Nẵng</w:t>
            </w:r>
          </w:p>
        </w:tc>
        <w:tc>
          <w:tcPr>
            <w:tcW w:w="1440" w:type="dxa"/>
            <w:tcBorders>
              <w:top w:val="nil"/>
              <w:left w:val="nil"/>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2565"/>
        </w:trPr>
        <w:tc>
          <w:tcPr>
            <w:tcW w:w="710" w:type="dxa"/>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4</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 xml:space="preserve">Chi dịch thuật (bao gồm cả dịch thuật trong công tác rà soát, đối chiếu văn bản điều ước quốc tế bằng tiếng việt với văn bản điều ước quốc tế bằng tiếng nước ngoài); chi đón các đoàn nước ngoài vào làm việc tại Việt </w:t>
            </w:r>
            <w:smartTag w:uri="urn:schemas-microsoft-com:office:smarttags" w:element="country-region">
              <w:smartTag w:uri="urn:schemas-microsoft-com:office:smarttags" w:element="place">
                <w:r w:rsidRPr="00310E5E">
                  <w:rPr>
                    <w:sz w:val="24"/>
                    <w:szCs w:val="24"/>
                  </w:rPr>
                  <w:t>Nam</w:t>
                </w:r>
              </w:smartTag>
            </w:smartTag>
            <w:r w:rsidRPr="00310E5E">
              <w:rPr>
                <w:sz w:val="24"/>
                <w:szCs w:val="24"/>
              </w:rPr>
              <w:t xml:space="preserve">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 </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 xml:space="preserve">Thực hiện theo quy định về chế độ chi tiêu đón tiếp khách nước ngoài vào làm việc tại Việt Nam, chi tiêu tổ chức các hội nghị, hội thảo quốc tế tại Việt Nam và chi tiêu tiếp khách trong nước tại Quyết định số 32/2010/QĐ-UBND ngày 6/10/2010 của UBND thành phố  </w:t>
            </w:r>
          </w:p>
        </w:tc>
        <w:tc>
          <w:tcPr>
            <w:tcW w:w="1440" w:type="dxa"/>
            <w:tcBorders>
              <w:top w:val="nil"/>
              <w:left w:val="nil"/>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40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lastRenderedPageBreak/>
              <w:t>5</w:t>
            </w:r>
          </w:p>
        </w:tc>
        <w:tc>
          <w:tcPr>
            <w:tcW w:w="4260"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 xml:space="preserve">Chi công bố điều ước quốc tế trên niêm giám điều ước quốc tế; chi xây dựng dữ liệu điều ước quốc tế; chi phí sao lục, in ấn tài liệu; chi mua, thu thập tài liệu; chi mua văn phòng phẩm phục vụ trực tiếp cho soạn thảo điều ước quốc tế và công tác thỏa thuận quốc tế </w:t>
            </w:r>
          </w:p>
        </w:tc>
        <w:tc>
          <w:tcPr>
            <w:tcW w:w="1288"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2520"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 xml:space="preserve">Thực hiện theo chứng từ chi thực tế, theo hợp đồng của đơn vị cung cấp, đối với trường hợp thu thập tài liệu phải có chứng từ hợp lệ (bảng kê khai đăng ký nhận tiền của người cung cấp tài liệu), các nội dung chi tiêu trên phải được cấp có thẩm quyền phê duyệt dự toán trước khi thực hiện. Việc in ấn, mua sắm văn phòng phẩm nếu thuộc diện phải đấu thầu thì thực hiện việc đấu thầu theo quy định hiện hành. </w:t>
            </w:r>
          </w:p>
        </w:tc>
        <w:tc>
          <w:tcPr>
            <w:tcW w:w="1440" w:type="dxa"/>
            <w:tcBorders>
              <w:top w:val="single" w:sz="4" w:space="0" w:color="auto"/>
              <w:left w:val="nil"/>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13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6</w:t>
            </w:r>
          </w:p>
        </w:tc>
        <w:tc>
          <w:tcPr>
            <w:tcW w:w="4260"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 xml:space="preserve">Chi tuyên truyền, phổ biến điều ước quốc tế, thỏa thuận quốc tế  </w:t>
            </w:r>
          </w:p>
        </w:tc>
        <w:tc>
          <w:tcPr>
            <w:tcW w:w="1288"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2520"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Thực hiện theo chế độ quy định hiện hành về tuyên truyền phổ biến giáo dục pháp luật</w:t>
            </w:r>
          </w:p>
        </w:tc>
        <w:tc>
          <w:tcPr>
            <w:tcW w:w="1440" w:type="dxa"/>
            <w:tcBorders>
              <w:top w:val="single" w:sz="4" w:space="0" w:color="auto"/>
              <w:left w:val="nil"/>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1185"/>
        </w:trPr>
        <w:tc>
          <w:tcPr>
            <w:tcW w:w="710" w:type="dxa"/>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7</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 xml:space="preserve">Đối với các khoản chi đóng góp tài chính theo điều ước quốc tế, thỏa thuận quốc tế thì mức đóng góp tài chính được thực hiện như sau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3900"/>
        </w:trPr>
        <w:tc>
          <w:tcPr>
            <w:tcW w:w="710" w:type="dxa"/>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t>a</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i/>
                <w:iCs/>
                <w:sz w:val="24"/>
                <w:szCs w:val="24"/>
              </w:rPr>
            </w:pPr>
            <w:r w:rsidRPr="00310E5E">
              <w:rPr>
                <w:i/>
                <w:iCs/>
                <w:sz w:val="24"/>
                <w:szCs w:val="24"/>
              </w:rPr>
              <w:t xml:space="preserve">Mức đóng góp tài chính theo điều ước quốc tế (bao gồm đóng góp tài chính, niên liễm cho tổ chức quốc tế được thành lập theo điều ước quốc tế, viện trợ cho chính phủ nước ngoài hoặc đóng góp tài chính khác theo điều ước quốc tế)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 </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i/>
                <w:iCs/>
                <w:sz w:val="24"/>
                <w:szCs w:val="24"/>
              </w:rPr>
            </w:pPr>
            <w:r w:rsidRPr="00310E5E">
              <w:rPr>
                <w:i/>
                <w:iCs/>
                <w:sz w:val="24"/>
                <w:szCs w:val="24"/>
              </w:rPr>
              <w:t xml:space="preserve">Thực hiện căn cứ vào điều ước quốc tế, tổ chức quốc tế có liên quan mà Việt Nam là thành viên; trong trường hợp có sự thay đổi mức đóng góp tài chính so với quy định của điều ước quốc tế thì cơ quan chủ trì thực hiện điều ước quốc tế lấy ý kiến của Bộ Ngoại giao, Bộ Tài chính và trình Thủ tướng Chính phủ quyết định làm căn cứ đóng góp </w:t>
            </w:r>
          </w:p>
        </w:tc>
        <w:tc>
          <w:tcPr>
            <w:tcW w:w="1440" w:type="dxa"/>
            <w:vMerge/>
            <w:tcBorders>
              <w:top w:val="nil"/>
              <w:left w:val="single" w:sz="4" w:space="0" w:color="auto"/>
              <w:bottom w:val="single" w:sz="4" w:space="0" w:color="auto"/>
              <w:right w:val="single" w:sz="4" w:space="0" w:color="auto"/>
            </w:tcBorders>
            <w:vAlign w:val="center"/>
          </w:tcPr>
          <w:p w:rsidR="00C06453" w:rsidRPr="00C06453" w:rsidRDefault="00C06453" w:rsidP="00C06453">
            <w:pPr>
              <w:rPr>
                <w:sz w:val="26"/>
                <w:szCs w:val="26"/>
              </w:rPr>
            </w:pPr>
          </w:p>
        </w:tc>
      </w:tr>
      <w:tr w:rsidR="00C06453" w:rsidRPr="00C06453" w:rsidTr="0006060E">
        <w:trPr>
          <w:trHeight w:val="42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lastRenderedPageBreak/>
              <w:t>b</w:t>
            </w:r>
          </w:p>
        </w:tc>
        <w:tc>
          <w:tcPr>
            <w:tcW w:w="4260"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both"/>
              <w:rPr>
                <w:i/>
                <w:iCs/>
                <w:sz w:val="24"/>
                <w:szCs w:val="24"/>
              </w:rPr>
            </w:pPr>
            <w:r w:rsidRPr="00310E5E">
              <w:rPr>
                <w:i/>
                <w:iCs/>
                <w:sz w:val="24"/>
                <w:szCs w:val="24"/>
              </w:rPr>
              <w:t xml:space="preserve">Mức đóng góp tài chính theo thỏa thuận quốc tế (bao gồm đóng góp tài chính, niên liễm cho tổ chức quốc tế được thành lập theo thỏa thuận quốc tế, hoặc đóng góp tài chính khác theo thỏa thuận quốc tế) </w:t>
            </w:r>
          </w:p>
        </w:tc>
        <w:tc>
          <w:tcPr>
            <w:tcW w:w="1288"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 </w:t>
            </w:r>
          </w:p>
        </w:tc>
        <w:tc>
          <w:tcPr>
            <w:tcW w:w="2520"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both"/>
              <w:rPr>
                <w:i/>
                <w:iCs/>
                <w:sz w:val="24"/>
                <w:szCs w:val="24"/>
              </w:rPr>
            </w:pPr>
            <w:r w:rsidRPr="00310E5E">
              <w:rPr>
                <w:i/>
                <w:iCs/>
                <w:sz w:val="24"/>
                <w:szCs w:val="24"/>
              </w:rPr>
              <w:t>Thực hiện căn cứ vào quy định của thỏa thuận quốc tế có liên quan đang có hiệu lực; trong trường hợp có sự thay đổi mức đóng góp tài chính thì cơ quan chủ trì thực hiện thỏa thuận quốc tế lấy ý kiến của Bộ Ngoại giao, Bộ tài chính và trình cơ quan đã quyết định việc ký kết thỏa thuận quốc tế đó phê duyệt mức đóng góp tài chính theo thỏa thuận quốc tế.</w:t>
            </w:r>
          </w:p>
        </w:tc>
        <w:tc>
          <w:tcPr>
            <w:tcW w:w="1440" w:type="dxa"/>
            <w:tcBorders>
              <w:top w:val="single" w:sz="4" w:space="0" w:color="auto"/>
              <w:left w:val="nil"/>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8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8</w:t>
            </w:r>
          </w:p>
        </w:tc>
        <w:tc>
          <w:tcPr>
            <w:tcW w:w="4260"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Chế độ, mức chi có tính chất đặc thù phục vụ công tác điều ước quốc tế, công tác thỏa thuận quốc tế</w:t>
            </w:r>
          </w:p>
        </w:tc>
        <w:tc>
          <w:tcPr>
            <w:tcW w:w="1288"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2520"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a</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Chi soạn thảo đề cương chi tiết</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1440" w:type="dxa"/>
            <w:tcBorders>
              <w:top w:val="nil"/>
              <w:left w:val="nil"/>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i/>
                <w:iCs/>
                <w:sz w:val="24"/>
                <w:szCs w:val="24"/>
              </w:rPr>
            </w:pPr>
            <w:r w:rsidRPr="00310E5E">
              <w:rPr>
                <w:i/>
                <w:iCs/>
                <w:sz w:val="24"/>
                <w:szCs w:val="24"/>
              </w:rPr>
              <w:t xml:space="preserve"> - Đối với điều ước quốc tế soạn thảo mới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đồng/đề cương</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2</w:t>
            </w:r>
            <w:r w:rsidR="00310E5E">
              <w:rPr>
                <w:i/>
                <w:iCs/>
                <w:sz w:val="24"/>
                <w:szCs w:val="24"/>
              </w:rPr>
              <w:t>.</w:t>
            </w:r>
            <w:r w:rsidRPr="00310E5E">
              <w:rPr>
                <w:i/>
                <w:iCs/>
                <w:sz w:val="24"/>
                <w:szCs w:val="24"/>
              </w:rPr>
              <w:t>500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i/>
                <w:iCs/>
                <w:sz w:val="24"/>
                <w:szCs w:val="24"/>
              </w:rPr>
            </w:pPr>
            <w:r w:rsidRPr="00310E5E">
              <w:rPr>
                <w:i/>
                <w:iCs/>
                <w:sz w:val="24"/>
                <w:szCs w:val="24"/>
              </w:rPr>
              <w:t xml:space="preserve"> - Đối với điều ước quốc tế sửa đổi</w:t>
            </w:r>
            <w:r w:rsidR="00310E5E">
              <w:rPr>
                <w:i/>
                <w:iCs/>
                <w:sz w:val="24"/>
                <w:szCs w:val="24"/>
              </w:rPr>
              <w:t>.</w:t>
            </w:r>
            <w:r w:rsidRPr="00310E5E">
              <w:rPr>
                <w:i/>
                <w:iCs/>
                <w:sz w:val="24"/>
                <w:szCs w:val="24"/>
              </w:rPr>
              <w:t xml:space="preserve"> bổ sung</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đồng/đề cương</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2</w:t>
            </w:r>
            <w:r w:rsidR="00310E5E">
              <w:rPr>
                <w:i/>
                <w:iCs/>
                <w:sz w:val="24"/>
                <w:szCs w:val="24"/>
              </w:rPr>
              <w:t>.</w:t>
            </w:r>
            <w:r w:rsidRPr="00310E5E">
              <w:rPr>
                <w:i/>
                <w:iCs/>
                <w:sz w:val="24"/>
                <w:szCs w:val="24"/>
              </w:rPr>
              <w:t>000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i/>
                <w:iCs/>
                <w:sz w:val="24"/>
                <w:szCs w:val="24"/>
              </w:rPr>
            </w:pPr>
            <w:r w:rsidRPr="00310E5E">
              <w:rPr>
                <w:i/>
                <w:iCs/>
                <w:sz w:val="24"/>
                <w:szCs w:val="24"/>
              </w:rPr>
              <w:t xml:space="preserve"> - Đối với thỏa thuận quốc tế sửa đổi</w:t>
            </w:r>
            <w:r w:rsidR="00310E5E">
              <w:rPr>
                <w:i/>
                <w:iCs/>
                <w:sz w:val="24"/>
                <w:szCs w:val="24"/>
              </w:rPr>
              <w:t>.</w:t>
            </w:r>
            <w:r w:rsidRPr="00310E5E">
              <w:rPr>
                <w:i/>
                <w:iCs/>
                <w:sz w:val="24"/>
                <w:szCs w:val="24"/>
              </w:rPr>
              <w:t xml:space="preserve"> bổ sung</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đồng/đề cương</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1</w:t>
            </w:r>
            <w:r w:rsidR="00310E5E">
              <w:rPr>
                <w:i/>
                <w:iCs/>
                <w:sz w:val="24"/>
                <w:szCs w:val="24"/>
              </w:rPr>
              <w:t>.</w:t>
            </w:r>
            <w:r w:rsidRPr="00310E5E">
              <w:rPr>
                <w:i/>
                <w:iCs/>
                <w:sz w:val="24"/>
                <w:szCs w:val="24"/>
              </w:rPr>
              <w:t>500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735"/>
        </w:trPr>
        <w:tc>
          <w:tcPr>
            <w:tcW w:w="710" w:type="dxa"/>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b</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Chi soạn thảo điều ước quốc tế, công tác thỏa thuận quốc tế</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1440" w:type="dxa"/>
            <w:tcBorders>
              <w:top w:val="nil"/>
              <w:left w:val="nil"/>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i/>
                <w:iCs/>
                <w:sz w:val="24"/>
                <w:szCs w:val="24"/>
              </w:rPr>
            </w:pPr>
            <w:r w:rsidRPr="00310E5E">
              <w:rPr>
                <w:i/>
                <w:iCs/>
                <w:sz w:val="24"/>
                <w:szCs w:val="24"/>
              </w:rPr>
              <w:t xml:space="preserve"> - Soạn thảo mới dự thảo điều ước quốc tế</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đồng/đề cương</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5</w:t>
            </w:r>
            <w:r w:rsidR="00310E5E">
              <w:rPr>
                <w:i/>
                <w:iCs/>
                <w:sz w:val="24"/>
                <w:szCs w:val="24"/>
              </w:rPr>
              <w:t>.</w:t>
            </w:r>
            <w:r w:rsidRPr="00310E5E">
              <w:rPr>
                <w:i/>
                <w:iCs/>
                <w:sz w:val="24"/>
                <w:szCs w:val="24"/>
              </w:rPr>
              <w:t>000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1005"/>
        </w:trPr>
        <w:tc>
          <w:tcPr>
            <w:tcW w:w="710" w:type="dxa"/>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i/>
                <w:iCs/>
                <w:sz w:val="24"/>
                <w:szCs w:val="24"/>
              </w:rPr>
            </w:pPr>
            <w:r w:rsidRPr="00310E5E">
              <w:rPr>
                <w:i/>
                <w:iCs/>
                <w:sz w:val="24"/>
                <w:szCs w:val="24"/>
              </w:rPr>
              <w:t xml:space="preserve"> - Soạn thảo dự thảo điều ước quốc tế sửa đổi</w:t>
            </w:r>
            <w:r w:rsidR="00310E5E">
              <w:rPr>
                <w:i/>
                <w:iCs/>
                <w:sz w:val="24"/>
                <w:szCs w:val="24"/>
              </w:rPr>
              <w:t>.</w:t>
            </w:r>
            <w:r w:rsidRPr="00310E5E">
              <w:rPr>
                <w:i/>
                <w:iCs/>
                <w:sz w:val="24"/>
                <w:szCs w:val="24"/>
              </w:rPr>
              <w:t xml:space="preserve"> bổ sung; dự thảo thỏa thuận quốc tế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đồng/đề cương</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3</w:t>
            </w:r>
            <w:r w:rsidR="00310E5E">
              <w:rPr>
                <w:i/>
                <w:iCs/>
                <w:sz w:val="24"/>
                <w:szCs w:val="24"/>
              </w:rPr>
              <w:t>.</w:t>
            </w:r>
            <w:r w:rsidRPr="00310E5E">
              <w:rPr>
                <w:i/>
                <w:iCs/>
                <w:sz w:val="24"/>
                <w:szCs w:val="24"/>
              </w:rPr>
              <w:t>000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2115"/>
        </w:trPr>
        <w:tc>
          <w:tcPr>
            <w:tcW w:w="710" w:type="dxa"/>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c</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 xml:space="preserve">Chi cho các cá nhân tham gia cuộc họp lấy ý kiến về dự thảo điều ước quốc tế, thỏa thuận quốc tế; hội thảo về kế hoạch đàm phán, ký, phê chuẩn, phê duyệt, gia nhập điều ước quốc tế, thỏa thuận quốc tế; chi hội đồng thẩm định điều ước quốc tế, tư vấn thẩm định điều ước quốc tế (nếu có)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1440" w:type="dxa"/>
            <w:tcBorders>
              <w:top w:val="nil"/>
              <w:left w:val="nil"/>
              <w:bottom w:val="single" w:sz="4" w:space="0" w:color="auto"/>
              <w:right w:val="single" w:sz="4" w:space="0" w:color="auto"/>
            </w:tcBorders>
            <w:shd w:val="clear" w:color="auto" w:fill="auto"/>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i/>
                <w:iCs/>
                <w:sz w:val="24"/>
                <w:szCs w:val="24"/>
              </w:rPr>
            </w:pPr>
            <w:r w:rsidRPr="00310E5E">
              <w:rPr>
                <w:i/>
                <w:iCs/>
                <w:sz w:val="24"/>
                <w:szCs w:val="24"/>
              </w:rPr>
              <w:t xml:space="preserve"> - Người chủ trì cuộc họp</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đồng/người/buổi</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150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5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i/>
                <w:iCs/>
                <w:sz w:val="24"/>
                <w:szCs w:val="24"/>
              </w:rPr>
            </w:pPr>
            <w:r w:rsidRPr="00310E5E">
              <w:rPr>
                <w:i/>
                <w:iCs/>
                <w:sz w:val="24"/>
                <w:szCs w:val="24"/>
              </w:rPr>
              <w:t xml:space="preserve"> - Các thành viên tham dự</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 xml:space="preserve"> đồng/người/buổi</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100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8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i/>
                <w:iCs/>
                <w:sz w:val="24"/>
                <w:szCs w:val="24"/>
              </w:rPr>
            </w:pPr>
            <w:r w:rsidRPr="00310E5E">
              <w:rPr>
                <w:i/>
                <w:iCs/>
                <w:sz w:val="24"/>
                <w:szCs w:val="24"/>
              </w:rPr>
              <w:t xml:space="preserve"> - Lấy ý kiến tham luận bằng văn bản của thành viên tham dự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đồng/văn bản</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C06453" w:rsidP="00C06453">
            <w:pPr>
              <w:jc w:val="center"/>
              <w:rPr>
                <w:i/>
                <w:iCs/>
                <w:sz w:val="24"/>
                <w:szCs w:val="24"/>
              </w:rPr>
            </w:pPr>
            <w:r w:rsidRPr="00310E5E">
              <w:rPr>
                <w:i/>
                <w:iCs/>
                <w:sz w:val="24"/>
                <w:szCs w:val="24"/>
              </w:rPr>
              <w:t>500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178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lastRenderedPageBreak/>
              <w:t>d</w:t>
            </w:r>
          </w:p>
        </w:tc>
        <w:tc>
          <w:tcPr>
            <w:tcW w:w="4260"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rPr>
                <w:sz w:val="24"/>
                <w:szCs w:val="24"/>
              </w:rPr>
            </w:pPr>
            <w:r w:rsidRPr="00310E5E">
              <w:rPr>
                <w:sz w:val="24"/>
                <w:szCs w:val="24"/>
              </w:rPr>
              <w:t>Chi báo cáo tổng hợp ý kiến; báo cáo giải trình tiếp thu ý kiến góp ý; báo cáo thẩm định điều ước quốc tế; báo cáo kiểm tra đề xuất đàm phán, ký kết điều ước quốc tế; văn bản của Bộ Ngoại giao đối với đề xuất ký kết Thỏa thuận quốc tế</w:t>
            </w:r>
          </w:p>
        </w:tc>
        <w:tc>
          <w:tcPr>
            <w:tcW w:w="1288"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đồng/báo cáo/văn bản</w:t>
            </w:r>
          </w:p>
        </w:tc>
        <w:tc>
          <w:tcPr>
            <w:tcW w:w="2520"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370B8E" w:rsidP="00C06453">
            <w:pPr>
              <w:jc w:val="center"/>
              <w:rPr>
                <w:sz w:val="24"/>
                <w:szCs w:val="24"/>
              </w:rPr>
            </w:pPr>
            <w:r>
              <w:rPr>
                <w:sz w:val="24"/>
                <w:szCs w:val="24"/>
              </w:rPr>
              <w:t>700.</w:t>
            </w:r>
            <w:r w:rsidR="00C06453" w:rsidRPr="00310E5E">
              <w:rPr>
                <w:sz w:val="24"/>
                <w:szCs w:val="24"/>
              </w:rPr>
              <w:t>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12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đ</w:t>
            </w:r>
          </w:p>
        </w:tc>
        <w:tc>
          <w:tcPr>
            <w:tcW w:w="4260"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rPr>
                <w:sz w:val="24"/>
                <w:szCs w:val="24"/>
              </w:rPr>
            </w:pPr>
            <w:r w:rsidRPr="00310E5E">
              <w:rPr>
                <w:sz w:val="24"/>
                <w:szCs w:val="24"/>
              </w:rPr>
              <w:t xml:space="preserve">Chi báo cáo nhận xét, đánh giá của người phản biện, ủy viên hội đồng thẩm định; báo cáo tham luận theo đơn đặt hàng của đơn vị chủ trì soạn thảo </w:t>
            </w:r>
          </w:p>
        </w:tc>
        <w:tc>
          <w:tcPr>
            <w:tcW w:w="1288"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C06453" w:rsidRPr="00310E5E" w:rsidRDefault="00C06453" w:rsidP="00C06453">
            <w:pPr>
              <w:jc w:val="center"/>
              <w:rPr>
                <w:b/>
                <w:bCs/>
                <w:sz w:val="24"/>
                <w:szCs w:val="24"/>
              </w:rPr>
            </w:pPr>
            <w:r w:rsidRPr="00310E5E">
              <w:rPr>
                <w:b/>
                <w:bCs/>
                <w:sz w:val="24"/>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93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i/>
                <w:iCs/>
                <w:sz w:val="24"/>
                <w:szCs w:val="24"/>
              </w:rPr>
            </w:pPr>
            <w:r w:rsidRPr="00310E5E">
              <w:rPr>
                <w:i/>
                <w:iCs/>
                <w:sz w:val="24"/>
                <w:szCs w:val="24"/>
              </w:rPr>
              <w:t xml:space="preserve"> - Đối với dự thảo điều ước quốc tế, thỏa thuận quốc tế mới hoặc thay thế</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đồng/báo cáo</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C06453" w:rsidP="00C06453">
            <w:pPr>
              <w:jc w:val="center"/>
              <w:rPr>
                <w:i/>
                <w:iCs/>
                <w:sz w:val="24"/>
                <w:szCs w:val="24"/>
              </w:rPr>
            </w:pPr>
            <w:r w:rsidRPr="00310E5E">
              <w:rPr>
                <w:i/>
                <w:iCs/>
                <w:sz w:val="24"/>
                <w:szCs w:val="24"/>
              </w:rPr>
              <w:t>700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i/>
                <w:iCs/>
                <w:sz w:val="24"/>
                <w:szCs w:val="24"/>
              </w:rPr>
            </w:pPr>
            <w:r w:rsidRPr="00310E5E">
              <w:rPr>
                <w:i/>
                <w:iCs/>
                <w:sz w:val="24"/>
                <w:szCs w:val="24"/>
              </w:rPr>
              <w:t xml:space="preserve"> - Đối với dự thảo điều ước quốc tế</w:t>
            </w:r>
            <w:r w:rsidR="00310E5E">
              <w:rPr>
                <w:i/>
                <w:iCs/>
                <w:sz w:val="24"/>
                <w:szCs w:val="24"/>
              </w:rPr>
              <w:t>.</w:t>
            </w:r>
            <w:r w:rsidRPr="00310E5E">
              <w:rPr>
                <w:i/>
                <w:iCs/>
                <w:sz w:val="24"/>
                <w:szCs w:val="24"/>
              </w:rPr>
              <w:t xml:space="preserve"> thỏa thuận quốc tế sửa đổi, bổ sung một số điều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đồng/báo cáo</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C06453" w:rsidP="00C06453">
            <w:pPr>
              <w:jc w:val="center"/>
              <w:rPr>
                <w:i/>
                <w:iCs/>
                <w:sz w:val="24"/>
                <w:szCs w:val="24"/>
              </w:rPr>
            </w:pPr>
            <w:r w:rsidRPr="00310E5E">
              <w:rPr>
                <w:i/>
                <w:iCs/>
                <w:sz w:val="24"/>
                <w:szCs w:val="24"/>
              </w:rPr>
              <w:t>500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8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e</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sz w:val="24"/>
                <w:szCs w:val="24"/>
              </w:rPr>
            </w:pPr>
            <w:r w:rsidRPr="00310E5E">
              <w:rPr>
                <w:sz w:val="24"/>
                <w:szCs w:val="24"/>
              </w:rPr>
              <w:t>Báo cáo theo dõi tình hình thực hiện điều ước quốc tế, thỏa thuận quốc tế</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C06453" w:rsidP="00C06453">
            <w:pPr>
              <w:jc w:val="center"/>
              <w:rPr>
                <w:sz w:val="24"/>
                <w:szCs w:val="24"/>
              </w:rPr>
            </w:pPr>
            <w:r w:rsidRPr="00310E5E">
              <w:rPr>
                <w:sz w:val="24"/>
                <w:szCs w:val="24"/>
              </w:rPr>
              <w:t> </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i/>
                <w:iCs/>
                <w:sz w:val="24"/>
                <w:szCs w:val="24"/>
              </w:rPr>
            </w:pPr>
            <w:r w:rsidRPr="00310E5E">
              <w:rPr>
                <w:i/>
                <w:iCs/>
                <w:sz w:val="24"/>
                <w:szCs w:val="24"/>
              </w:rPr>
              <w:t xml:space="preserve"> - Báo cáo tình hình thi hành điều ước quốc tế thỏa thuận quốc tế định kỳ hàng năm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đồng/báo cáo</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C06453" w:rsidP="00C06453">
            <w:pPr>
              <w:jc w:val="center"/>
              <w:rPr>
                <w:i/>
                <w:iCs/>
                <w:sz w:val="24"/>
                <w:szCs w:val="24"/>
              </w:rPr>
            </w:pPr>
            <w:r w:rsidRPr="00310E5E">
              <w:rPr>
                <w:i/>
                <w:iCs/>
                <w:sz w:val="24"/>
                <w:szCs w:val="24"/>
              </w:rPr>
              <w:t>3</w:t>
            </w:r>
            <w:r w:rsidR="00310E5E">
              <w:rPr>
                <w:i/>
                <w:iCs/>
                <w:sz w:val="24"/>
                <w:szCs w:val="24"/>
              </w:rPr>
              <w:t>.</w:t>
            </w:r>
            <w:r w:rsidRPr="00310E5E">
              <w:rPr>
                <w:i/>
                <w:iCs/>
                <w:sz w:val="24"/>
                <w:szCs w:val="24"/>
              </w:rPr>
              <w:t>500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11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i/>
                <w:iCs/>
                <w:sz w:val="24"/>
                <w:szCs w:val="24"/>
              </w:rPr>
            </w:pPr>
            <w:r w:rsidRPr="00310E5E">
              <w:rPr>
                <w:i/>
                <w:iCs/>
                <w:sz w:val="24"/>
                <w:szCs w:val="24"/>
              </w:rPr>
              <w:t xml:space="preserve"> - Báo cáo theo dõi tình hình thực hiện điều ước quốc tế, thỏa thuận quốc tế theo chuyên đề, hoặc đột xuất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 xml:space="preserve"> đồng/báo cáo</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C06453" w:rsidP="00C06453">
            <w:pPr>
              <w:jc w:val="center"/>
              <w:rPr>
                <w:i/>
                <w:iCs/>
                <w:sz w:val="24"/>
                <w:szCs w:val="24"/>
              </w:rPr>
            </w:pPr>
            <w:r w:rsidRPr="00310E5E">
              <w:rPr>
                <w:i/>
                <w:iCs/>
                <w:sz w:val="24"/>
                <w:szCs w:val="24"/>
              </w:rPr>
              <w:t>2</w:t>
            </w:r>
            <w:r w:rsidR="00310E5E">
              <w:rPr>
                <w:i/>
                <w:iCs/>
                <w:sz w:val="24"/>
                <w:szCs w:val="24"/>
              </w:rPr>
              <w:t>.</w:t>
            </w:r>
            <w:r w:rsidRPr="00310E5E">
              <w:rPr>
                <w:i/>
                <w:iCs/>
                <w:sz w:val="24"/>
                <w:szCs w:val="24"/>
              </w:rPr>
              <w:t>000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84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g</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sz w:val="24"/>
                <w:szCs w:val="24"/>
              </w:rPr>
            </w:pPr>
            <w:r w:rsidRPr="00310E5E">
              <w:rPr>
                <w:sz w:val="24"/>
                <w:szCs w:val="24"/>
              </w:rPr>
              <w:t xml:space="preserve">Chi soạn thảo văn bản góp ý, báo cáo thẩm định, thẩm tra văn bản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C06453" w:rsidP="00C06453">
            <w:pPr>
              <w:jc w:val="center"/>
              <w:rPr>
                <w:sz w:val="24"/>
                <w:szCs w:val="24"/>
              </w:rPr>
            </w:pPr>
            <w:r w:rsidRPr="00310E5E">
              <w:rPr>
                <w:sz w:val="24"/>
                <w:szCs w:val="24"/>
              </w:rPr>
              <w:t> </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sz w:val="24"/>
                <w:szCs w:val="24"/>
              </w:rPr>
            </w:pPr>
            <w:r w:rsidRPr="00310E5E">
              <w:rPr>
                <w:sz w:val="24"/>
                <w:szCs w:val="24"/>
              </w:rPr>
              <w:t xml:space="preserve"> - Văn bản góp ý</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C06453" w:rsidP="00C06453">
            <w:pPr>
              <w:jc w:val="center"/>
              <w:rPr>
                <w:sz w:val="24"/>
                <w:szCs w:val="24"/>
              </w:rPr>
            </w:pPr>
            <w:r w:rsidRPr="00310E5E">
              <w:rPr>
                <w:sz w:val="24"/>
                <w:szCs w:val="24"/>
              </w:rPr>
              <w:t> </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i/>
                <w:iCs/>
                <w:sz w:val="24"/>
                <w:szCs w:val="24"/>
              </w:rPr>
            </w:pPr>
            <w:r w:rsidRPr="00310E5E">
              <w:rPr>
                <w:i/>
                <w:iCs/>
                <w:sz w:val="24"/>
                <w:szCs w:val="24"/>
              </w:rPr>
              <w:t xml:space="preserve"> + Đối với dự thảo điều ước quốc tế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đồng/văn bản</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C06453" w:rsidP="00C06453">
            <w:pPr>
              <w:jc w:val="center"/>
              <w:rPr>
                <w:i/>
                <w:iCs/>
                <w:sz w:val="24"/>
                <w:szCs w:val="24"/>
              </w:rPr>
            </w:pPr>
            <w:r w:rsidRPr="00310E5E">
              <w:rPr>
                <w:i/>
                <w:iCs/>
                <w:sz w:val="24"/>
                <w:szCs w:val="24"/>
              </w:rPr>
              <w:t>700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8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i/>
                <w:iCs/>
                <w:sz w:val="24"/>
                <w:szCs w:val="24"/>
              </w:rPr>
            </w:pPr>
            <w:r w:rsidRPr="00310E5E">
              <w:rPr>
                <w:i/>
                <w:iCs/>
                <w:sz w:val="24"/>
                <w:szCs w:val="24"/>
              </w:rPr>
              <w:t xml:space="preserve"> + Đối với dự thảo điều ước quốc tế sửa đổi, bổ sung; thỏa thuận quốc tế</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đồng/văn bản</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C06453" w:rsidP="00C06453">
            <w:pPr>
              <w:jc w:val="center"/>
              <w:rPr>
                <w:i/>
                <w:iCs/>
                <w:sz w:val="24"/>
                <w:szCs w:val="24"/>
              </w:rPr>
            </w:pPr>
            <w:r w:rsidRPr="00310E5E">
              <w:rPr>
                <w:i/>
                <w:iCs/>
                <w:sz w:val="24"/>
                <w:szCs w:val="24"/>
              </w:rPr>
              <w:t>500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49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sz w:val="24"/>
                <w:szCs w:val="24"/>
              </w:rPr>
            </w:pPr>
            <w:r w:rsidRPr="00310E5E">
              <w:rPr>
                <w:sz w:val="24"/>
                <w:szCs w:val="24"/>
              </w:rPr>
              <w:t xml:space="preserve"> - Báo cáo thẩm định, báo cáo thẩm tra</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C06453" w:rsidP="00C06453">
            <w:pPr>
              <w:jc w:val="center"/>
              <w:rPr>
                <w:sz w:val="24"/>
                <w:szCs w:val="24"/>
              </w:rPr>
            </w:pPr>
            <w:r w:rsidRPr="00310E5E">
              <w:rPr>
                <w:sz w:val="24"/>
                <w:szCs w:val="24"/>
              </w:rPr>
              <w:t> </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i/>
                <w:iCs/>
                <w:sz w:val="24"/>
                <w:szCs w:val="24"/>
              </w:rPr>
            </w:pPr>
            <w:r w:rsidRPr="00310E5E">
              <w:rPr>
                <w:i/>
                <w:iCs/>
                <w:sz w:val="24"/>
                <w:szCs w:val="24"/>
              </w:rPr>
              <w:t xml:space="preserve"> + Đối với dự thảo quốc tế mới hoặc thay thế</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 xml:space="preserve"> đồng/báo cáo</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C06453" w:rsidP="00C06453">
            <w:pPr>
              <w:jc w:val="center"/>
              <w:rPr>
                <w:i/>
                <w:iCs/>
                <w:sz w:val="24"/>
                <w:szCs w:val="24"/>
              </w:rPr>
            </w:pPr>
            <w:r w:rsidRPr="00310E5E">
              <w:rPr>
                <w:i/>
                <w:iCs/>
                <w:sz w:val="24"/>
                <w:szCs w:val="24"/>
              </w:rPr>
              <w:t>1</w:t>
            </w:r>
            <w:r w:rsidR="00310E5E">
              <w:rPr>
                <w:i/>
                <w:iCs/>
                <w:sz w:val="24"/>
                <w:szCs w:val="24"/>
              </w:rPr>
              <w:t>.</w:t>
            </w:r>
            <w:r w:rsidRPr="00310E5E">
              <w:rPr>
                <w:i/>
                <w:iCs/>
                <w:sz w:val="24"/>
                <w:szCs w:val="24"/>
              </w:rPr>
              <w:t>000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8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i/>
                <w:iCs/>
                <w:sz w:val="24"/>
                <w:szCs w:val="24"/>
              </w:rPr>
            </w:pPr>
            <w:r w:rsidRPr="00310E5E">
              <w:rPr>
                <w:i/>
                <w:iCs/>
                <w:sz w:val="24"/>
                <w:szCs w:val="24"/>
              </w:rPr>
              <w:t xml:space="preserve"> + Đối với dự thảo điều ước quốc tế sửa đổi, bổ sung; thỏa thuận quốc tế</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i/>
                <w:iCs/>
                <w:sz w:val="24"/>
                <w:szCs w:val="24"/>
              </w:rPr>
            </w:pPr>
            <w:r w:rsidRPr="00310E5E">
              <w:rPr>
                <w:i/>
                <w:iCs/>
                <w:sz w:val="24"/>
                <w:szCs w:val="24"/>
              </w:rPr>
              <w:t>đồng/báo cáo</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C06453" w:rsidP="00C06453">
            <w:pPr>
              <w:jc w:val="center"/>
              <w:rPr>
                <w:i/>
                <w:iCs/>
                <w:sz w:val="24"/>
                <w:szCs w:val="24"/>
              </w:rPr>
            </w:pPr>
            <w:r w:rsidRPr="00310E5E">
              <w:rPr>
                <w:i/>
                <w:iCs/>
                <w:sz w:val="24"/>
                <w:szCs w:val="24"/>
              </w:rPr>
              <w:t>700</w:t>
            </w:r>
            <w:r w:rsidR="00310E5E">
              <w:rPr>
                <w:i/>
                <w:iCs/>
                <w:sz w:val="24"/>
                <w:szCs w:val="24"/>
              </w:rPr>
              <w:t>.</w:t>
            </w:r>
            <w:r w:rsidRPr="00310E5E">
              <w:rPr>
                <w:i/>
                <w:iCs/>
                <w:sz w:val="24"/>
                <w:szCs w:val="24"/>
              </w:rPr>
              <w:t>000</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i/>
                <w:iCs/>
                <w:sz w:val="26"/>
                <w:szCs w:val="26"/>
              </w:rPr>
            </w:pPr>
            <w:r w:rsidRPr="00C06453">
              <w:rPr>
                <w:i/>
                <w:iCs/>
                <w:sz w:val="26"/>
                <w:szCs w:val="26"/>
              </w:rPr>
              <w:t> </w:t>
            </w:r>
          </w:p>
        </w:tc>
      </w:tr>
      <w:tr w:rsidR="00C06453" w:rsidRPr="00C06453" w:rsidTr="0006060E">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h</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sz w:val="24"/>
                <w:szCs w:val="24"/>
              </w:rPr>
            </w:pPr>
            <w:r w:rsidRPr="00310E5E">
              <w:rPr>
                <w:sz w:val="24"/>
                <w:szCs w:val="24"/>
              </w:rPr>
              <w:t xml:space="preserve">Chi chỉnh lý hoàn thiện đề cương nghiên cứu các loại báo cáo, bản thuyết minh, tờ trình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xml:space="preserve"> đồng/lần chỉnh lý</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370B8E" w:rsidP="00C06453">
            <w:pPr>
              <w:jc w:val="center"/>
              <w:rPr>
                <w:sz w:val="24"/>
                <w:szCs w:val="24"/>
              </w:rPr>
            </w:pPr>
            <w:r>
              <w:rPr>
                <w:sz w:val="24"/>
                <w:szCs w:val="24"/>
              </w:rPr>
              <w:t>500.</w:t>
            </w:r>
            <w:r w:rsidR="00C06453" w:rsidRPr="00310E5E">
              <w:rPr>
                <w:sz w:val="24"/>
                <w:szCs w:val="24"/>
              </w:rPr>
              <w:t>000</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7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lastRenderedPageBreak/>
              <w:t>i</w:t>
            </w:r>
          </w:p>
        </w:tc>
        <w:tc>
          <w:tcPr>
            <w:tcW w:w="4260"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rPr>
                <w:sz w:val="24"/>
                <w:szCs w:val="24"/>
              </w:rPr>
            </w:pPr>
            <w:r w:rsidRPr="00310E5E">
              <w:rPr>
                <w:sz w:val="24"/>
                <w:szCs w:val="24"/>
              </w:rPr>
              <w:t xml:space="preserve">Chi chỉnh lý dự thảo điều ước quốc tế, thỏa thuận quốc tế  </w:t>
            </w:r>
          </w:p>
        </w:tc>
        <w:tc>
          <w:tcPr>
            <w:tcW w:w="1288"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đồng/lần chỉnh lý</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C06453" w:rsidRPr="00310E5E" w:rsidRDefault="00370B8E" w:rsidP="00C06453">
            <w:pPr>
              <w:jc w:val="center"/>
              <w:rPr>
                <w:sz w:val="24"/>
                <w:szCs w:val="24"/>
              </w:rPr>
            </w:pPr>
            <w:r>
              <w:rPr>
                <w:sz w:val="24"/>
                <w:szCs w:val="24"/>
              </w:rPr>
              <w:t>500.</w:t>
            </w:r>
            <w:r w:rsidR="00C06453" w:rsidRPr="00310E5E">
              <w:rPr>
                <w:sz w:val="24"/>
                <w:szCs w:val="24"/>
              </w:rPr>
              <w:t>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39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k</w:t>
            </w:r>
          </w:p>
        </w:tc>
        <w:tc>
          <w:tcPr>
            <w:tcW w:w="4260"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rPr>
                <w:sz w:val="24"/>
                <w:szCs w:val="24"/>
              </w:rPr>
            </w:pPr>
            <w:r w:rsidRPr="00310E5E">
              <w:rPr>
                <w:sz w:val="24"/>
                <w:szCs w:val="24"/>
              </w:rPr>
              <w:t>Chi cấp ý kiến pháp lý cho các điều ước quốc tế, thỏa thuận vay, thỏa thuận bảo lãnh Chính phủ</w:t>
            </w:r>
          </w:p>
        </w:tc>
        <w:tc>
          <w:tcPr>
            <w:tcW w:w="1288"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đồng/1 ý kiến pháp lý</w:t>
            </w:r>
          </w:p>
        </w:tc>
        <w:tc>
          <w:tcPr>
            <w:tcW w:w="2520"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370B8E" w:rsidP="00C06453">
            <w:pPr>
              <w:jc w:val="center"/>
              <w:rPr>
                <w:sz w:val="24"/>
                <w:szCs w:val="24"/>
              </w:rPr>
            </w:pPr>
            <w:r>
              <w:rPr>
                <w:sz w:val="24"/>
                <w:szCs w:val="24"/>
              </w:rPr>
              <w:t>3.</w:t>
            </w:r>
            <w:r w:rsidR="00C06453" w:rsidRPr="00310E5E">
              <w:rPr>
                <w:sz w:val="24"/>
                <w:szCs w:val="24"/>
              </w:rPr>
              <w:t>000</w:t>
            </w:r>
            <w:r w:rsidR="00310E5E">
              <w:rPr>
                <w:sz w:val="24"/>
                <w:szCs w:val="24"/>
              </w:rPr>
              <w:t>.</w:t>
            </w:r>
            <w:r w:rsidR="00C06453" w:rsidRPr="00310E5E">
              <w:rPr>
                <w:sz w:val="24"/>
                <w:szCs w:val="24"/>
              </w:rPr>
              <w:t>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Mức chi này bao gồm tất cả các chi phí liên quan đến công tác cấp ý kiến pháp lý như: soạn thảo, họp, dịch tài liệu, ý kiến chuyên gia phản biện và các công việc khác phục vụ việc cấp ý kiến pháp lý.</w:t>
            </w:r>
          </w:p>
        </w:tc>
      </w:tr>
      <w:tr w:rsidR="00C06453" w:rsidRPr="00C06453" w:rsidTr="0006060E">
        <w:trPr>
          <w:trHeight w:val="79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l</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sz w:val="24"/>
                <w:szCs w:val="24"/>
              </w:rPr>
            </w:pPr>
            <w:r w:rsidRPr="00310E5E">
              <w:rPr>
                <w:sz w:val="24"/>
                <w:szCs w:val="24"/>
              </w:rPr>
              <w:t xml:space="preserve">Chi lấy ý kiến chuyên gia độc lập </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đồng/văn bản góp ý</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370B8E" w:rsidP="00C06453">
            <w:pPr>
              <w:jc w:val="center"/>
              <w:rPr>
                <w:sz w:val="24"/>
                <w:szCs w:val="24"/>
              </w:rPr>
            </w:pPr>
            <w:r>
              <w:rPr>
                <w:sz w:val="24"/>
                <w:szCs w:val="24"/>
              </w:rPr>
              <w:t>1.</w:t>
            </w:r>
            <w:r w:rsidR="00C06453" w:rsidRPr="00310E5E">
              <w:rPr>
                <w:sz w:val="24"/>
                <w:szCs w:val="24"/>
              </w:rPr>
              <w:t>000</w:t>
            </w:r>
            <w:r w:rsidR="00310E5E">
              <w:rPr>
                <w:sz w:val="24"/>
                <w:szCs w:val="24"/>
              </w:rPr>
              <w:t>.</w:t>
            </w:r>
            <w:r w:rsidR="00C06453" w:rsidRPr="00310E5E">
              <w:rPr>
                <w:sz w:val="24"/>
                <w:szCs w:val="24"/>
              </w:rPr>
              <w:t>000</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 xml:space="preserve">  </w:t>
            </w:r>
          </w:p>
        </w:tc>
      </w:tr>
      <w:tr w:rsidR="00C06453" w:rsidRPr="00C06453" w:rsidTr="0006060E">
        <w:trPr>
          <w:trHeight w:val="246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 xml:space="preserve"> m</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sz w:val="24"/>
                <w:szCs w:val="24"/>
              </w:rPr>
            </w:pPr>
            <w:r w:rsidRPr="00310E5E">
              <w:rPr>
                <w:sz w:val="24"/>
                <w:szCs w:val="24"/>
              </w:rPr>
              <w:t>Chi bồi dưỡng cho các thành viên trực tiếp tham gia trong những ngày đàm phán, họp với phía đối tác về điều ước quốc tế và thỏa thuận quốc tế được tổ chức ở trong nước; chi bồi dưỡng cho việc rà soát văn bản phục vụ lễ ký kết điều ước quốc tế, thỏa thuận quốc tế nhân các chuyến thăm Việt Nam của lãnh đạo cấp cao nước ngoài</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đồng/người/buổi</w:t>
            </w:r>
          </w:p>
        </w:tc>
        <w:tc>
          <w:tcPr>
            <w:tcW w:w="2520" w:type="dxa"/>
            <w:tcBorders>
              <w:top w:val="nil"/>
              <w:left w:val="nil"/>
              <w:bottom w:val="single" w:sz="4" w:space="0" w:color="auto"/>
              <w:right w:val="single" w:sz="4" w:space="0" w:color="auto"/>
            </w:tcBorders>
            <w:shd w:val="clear" w:color="auto" w:fill="auto"/>
            <w:noWrap/>
            <w:vAlign w:val="center"/>
          </w:tcPr>
          <w:p w:rsidR="00C06453" w:rsidRPr="00310E5E" w:rsidRDefault="00370B8E" w:rsidP="00C06453">
            <w:pPr>
              <w:jc w:val="center"/>
              <w:rPr>
                <w:sz w:val="24"/>
                <w:szCs w:val="24"/>
              </w:rPr>
            </w:pPr>
            <w:r>
              <w:rPr>
                <w:sz w:val="24"/>
                <w:szCs w:val="24"/>
              </w:rPr>
              <w:t>150.</w:t>
            </w:r>
            <w:r w:rsidR="00C06453" w:rsidRPr="00310E5E">
              <w:rPr>
                <w:sz w:val="24"/>
                <w:szCs w:val="24"/>
              </w:rPr>
              <w:t>000</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 </w:t>
            </w:r>
          </w:p>
        </w:tc>
      </w:tr>
      <w:tr w:rsidR="00C06453" w:rsidRPr="00C06453" w:rsidTr="0006060E">
        <w:trPr>
          <w:trHeight w:val="25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n</w:t>
            </w:r>
          </w:p>
        </w:tc>
        <w:tc>
          <w:tcPr>
            <w:tcW w:w="426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rPr>
                <w:sz w:val="24"/>
                <w:szCs w:val="24"/>
              </w:rPr>
            </w:pPr>
            <w:r w:rsidRPr="00310E5E">
              <w:rPr>
                <w:sz w:val="24"/>
                <w:szCs w:val="24"/>
              </w:rPr>
              <w:t>Chi phí khác phát sinh phục vụ trực tiếp công tác điều ước quốc tế, công tác thỏa thuận quốc tế</w:t>
            </w:r>
          </w:p>
        </w:tc>
        <w:tc>
          <w:tcPr>
            <w:tcW w:w="1288"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center"/>
              <w:rPr>
                <w:sz w:val="24"/>
                <w:szCs w:val="24"/>
              </w:rPr>
            </w:pPr>
            <w:r w:rsidRPr="00310E5E">
              <w:rPr>
                <w:sz w:val="24"/>
                <w:szCs w:val="24"/>
              </w:rPr>
              <w:t> </w:t>
            </w:r>
          </w:p>
        </w:tc>
        <w:tc>
          <w:tcPr>
            <w:tcW w:w="2520" w:type="dxa"/>
            <w:tcBorders>
              <w:top w:val="nil"/>
              <w:left w:val="nil"/>
              <w:bottom w:val="single" w:sz="4" w:space="0" w:color="auto"/>
              <w:right w:val="single" w:sz="4" w:space="0" w:color="auto"/>
            </w:tcBorders>
            <w:shd w:val="clear" w:color="auto" w:fill="auto"/>
            <w:vAlign w:val="center"/>
          </w:tcPr>
          <w:p w:rsidR="00C06453" w:rsidRPr="00310E5E" w:rsidRDefault="00C06453" w:rsidP="00C06453">
            <w:pPr>
              <w:jc w:val="both"/>
              <w:rPr>
                <w:sz w:val="24"/>
                <w:szCs w:val="24"/>
              </w:rPr>
            </w:pPr>
            <w:r w:rsidRPr="00310E5E">
              <w:rPr>
                <w:sz w:val="24"/>
                <w:szCs w:val="24"/>
              </w:rPr>
              <w:t>Thanh toán theo hóa đơn, chứng từ chi tiêu thực tế hợp pháp theo quy định của Luật Kế toán và nằm trong phạm vi dự toán ngân sách đã được giao của cơ quan chủ trì thực hiện điều ước quốc tế, công tác thỏa thuận quốc tế</w:t>
            </w:r>
          </w:p>
        </w:tc>
        <w:tc>
          <w:tcPr>
            <w:tcW w:w="1440" w:type="dxa"/>
            <w:tcBorders>
              <w:top w:val="nil"/>
              <w:left w:val="nil"/>
              <w:bottom w:val="single" w:sz="4" w:space="0" w:color="auto"/>
              <w:right w:val="single" w:sz="4" w:space="0" w:color="auto"/>
            </w:tcBorders>
            <w:shd w:val="clear" w:color="auto" w:fill="auto"/>
            <w:noWrap/>
            <w:vAlign w:val="center"/>
          </w:tcPr>
          <w:p w:rsidR="00C06453" w:rsidRPr="00C06453" w:rsidRDefault="00C06453" w:rsidP="00C06453">
            <w:pPr>
              <w:jc w:val="center"/>
              <w:rPr>
                <w:sz w:val="26"/>
                <w:szCs w:val="26"/>
              </w:rPr>
            </w:pPr>
            <w:r w:rsidRPr="00C06453">
              <w:rPr>
                <w:sz w:val="26"/>
                <w:szCs w:val="26"/>
              </w:rPr>
              <w:t> </w:t>
            </w:r>
          </w:p>
        </w:tc>
      </w:tr>
    </w:tbl>
    <w:p w:rsidR="00890B0F" w:rsidRDefault="00890B0F"/>
    <w:sectPr w:rsidR="00890B0F" w:rsidSect="00310E5E">
      <w:pgSz w:w="11907" w:h="16840" w:code="9"/>
      <w:pgMar w:top="1474" w:right="1134" w:bottom="1134" w:left="1134"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53"/>
    <w:rsid w:val="0006060E"/>
    <w:rsid w:val="00310E5E"/>
    <w:rsid w:val="00370B8E"/>
    <w:rsid w:val="00531E59"/>
    <w:rsid w:val="00551D91"/>
    <w:rsid w:val="006F1EA8"/>
    <w:rsid w:val="00890B0F"/>
    <w:rsid w:val="00B1666F"/>
    <w:rsid w:val="00C0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28581E-8FBE-441E-B89D-3AEBAC93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PHỤ LỤC SỐ 01</vt:lpstr>
    </vt:vector>
  </TitlesOfParts>
  <Company>HOME</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01</dc:title>
  <dc:subject/>
  <dc:creator>User</dc:creator>
  <cp:keywords/>
  <dc:description/>
  <cp:lastModifiedBy>Truong Cong Nguyen Thanh</cp:lastModifiedBy>
  <cp:revision>3</cp:revision>
  <dcterms:created xsi:type="dcterms:W3CDTF">2021-04-19T08:42:00Z</dcterms:created>
  <dcterms:modified xsi:type="dcterms:W3CDTF">2021-04-19T08:42:00Z</dcterms:modified>
</cp:coreProperties>
</file>