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24" w:type="dxa"/>
        <w:tblInd w:w="-601" w:type="dxa"/>
        <w:tblLook w:val="01E0" w:firstRow="1" w:lastRow="1" w:firstColumn="1" w:lastColumn="1" w:noHBand="0" w:noVBand="0"/>
      </w:tblPr>
      <w:tblGrid>
        <w:gridCol w:w="4114"/>
        <w:gridCol w:w="6410"/>
      </w:tblGrid>
      <w:tr w:rsidR="00A85CBF" w:rsidRPr="007277DF">
        <w:trPr>
          <w:trHeight w:val="1232"/>
        </w:trPr>
        <w:tc>
          <w:tcPr>
            <w:tcW w:w="4114" w:type="dxa"/>
          </w:tcPr>
          <w:p w:rsidR="00A85CBF" w:rsidRPr="007277DF" w:rsidRDefault="00A85CBF" w:rsidP="00CA206E">
            <w:pPr>
              <w:jc w:val="center"/>
              <w:rPr>
                <w:b/>
                <w:color w:val="auto"/>
                <w:sz w:val="26"/>
                <w:szCs w:val="26"/>
              </w:rPr>
            </w:pPr>
            <w:r w:rsidRPr="007277DF">
              <w:rPr>
                <w:b/>
                <w:color w:val="auto"/>
                <w:sz w:val="26"/>
                <w:szCs w:val="26"/>
              </w:rPr>
              <w:t xml:space="preserve">UỶ BAN NHÂN DẬN </w:t>
            </w:r>
          </w:p>
          <w:p w:rsidR="00A85CBF" w:rsidRPr="007277DF" w:rsidRDefault="00A85CBF" w:rsidP="00CA206E">
            <w:pPr>
              <w:jc w:val="center"/>
              <w:rPr>
                <w:color w:val="auto"/>
                <w:sz w:val="26"/>
                <w:szCs w:val="26"/>
              </w:rPr>
            </w:pPr>
            <w:r w:rsidRPr="007277DF">
              <w:rPr>
                <w:b/>
                <w:color w:val="auto"/>
                <w:sz w:val="26"/>
                <w:szCs w:val="26"/>
              </w:rPr>
              <w:t>THÀNH PHỐ ĐÀ NẴNG</w:t>
            </w:r>
          </w:p>
          <w:p w:rsidR="00A85CBF" w:rsidRPr="007277DF" w:rsidRDefault="003F67C4" w:rsidP="00CA206E">
            <w:pPr>
              <w:jc w:val="center"/>
              <w:rPr>
                <w:b/>
                <w:color w:val="auto"/>
                <w:sz w:val="16"/>
                <w:szCs w:val="16"/>
              </w:rPr>
            </w:pPr>
            <w:r w:rsidRPr="007277DF">
              <w:rPr>
                <w:noProof/>
                <w:color w:val="auto"/>
                <w:sz w:val="16"/>
                <w:szCs w:val="16"/>
              </w:rPr>
              <mc:AlternateContent>
                <mc:Choice Requires="wps">
                  <w:drawing>
                    <wp:anchor distT="0" distB="0" distL="114300" distR="114300" simplePos="0" relativeHeight="251657728" behindDoc="0" locked="0" layoutInCell="1" allowOverlap="1">
                      <wp:simplePos x="0" y="0"/>
                      <wp:positionH relativeFrom="column">
                        <wp:posOffset>779145</wp:posOffset>
                      </wp:positionH>
                      <wp:positionV relativeFrom="paragraph">
                        <wp:posOffset>39370</wp:posOffset>
                      </wp:positionV>
                      <wp:extent cx="889000" cy="0"/>
                      <wp:effectExtent l="12700" t="12065" r="12700"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53EC1"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5pt,3.1pt" to="131.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1sGAIAADE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"/>
                  </w:pict>
                </mc:Fallback>
              </mc:AlternateContent>
            </w:r>
          </w:p>
          <w:p w:rsidR="00A85CBF" w:rsidRPr="007277DF" w:rsidRDefault="00A85CBF" w:rsidP="00CA206E">
            <w:pPr>
              <w:jc w:val="center"/>
              <w:rPr>
                <w:color w:val="auto"/>
              </w:rPr>
            </w:pPr>
            <w:r w:rsidRPr="007277DF">
              <w:rPr>
                <w:color w:val="auto"/>
              </w:rPr>
              <w:t>Số</w:t>
            </w:r>
            <w:r w:rsidR="00F926B8">
              <w:rPr>
                <w:color w:val="auto"/>
                <w:lang w:val="vi-VN"/>
              </w:rPr>
              <w:t xml:space="preserve">: </w:t>
            </w:r>
            <w:r w:rsidR="00F926B8">
              <w:rPr>
                <w:color w:val="auto"/>
              </w:rPr>
              <w:t>16</w:t>
            </w:r>
            <w:r w:rsidRPr="007277DF">
              <w:rPr>
                <w:color w:val="auto"/>
              </w:rPr>
              <w:t>/</w:t>
            </w:r>
            <w:r w:rsidR="00F11769" w:rsidRPr="007277DF">
              <w:rPr>
                <w:color w:val="auto"/>
              </w:rPr>
              <w:t>2014</w:t>
            </w:r>
            <w:r w:rsidR="005759B0" w:rsidRPr="007277DF">
              <w:rPr>
                <w:color w:val="auto"/>
              </w:rPr>
              <w:t>/</w:t>
            </w:r>
            <w:r w:rsidRPr="007277DF">
              <w:rPr>
                <w:color w:val="auto"/>
              </w:rPr>
              <w:t>QĐ-UBND</w:t>
            </w:r>
          </w:p>
          <w:p w:rsidR="00A85CBF" w:rsidRPr="007277DF" w:rsidRDefault="00A85CBF" w:rsidP="00CA206E">
            <w:pPr>
              <w:jc w:val="center"/>
              <w:rPr>
                <w:color w:val="auto"/>
              </w:rPr>
            </w:pPr>
          </w:p>
        </w:tc>
        <w:tc>
          <w:tcPr>
            <w:tcW w:w="6410" w:type="dxa"/>
          </w:tcPr>
          <w:p w:rsidR="00A85CBF" w:rsidRPr="007277DF" w:rsidRDefault="00A85CBF" w:rsidP="00CA206E">
            <w:pPr>
              <w:jc w:val="center"/>
              <w:rPr>
                <w:b/>
                <w:color w:val="auto"/>
                <w:sz w:val="26"/>
                <w:szCs w:val="26"/>
              </w:rPr>
            </w:pPr>
            <w:r w:rsidRPr="007277DF">
              <w:rPr>
                <w:b/>
                <w:color w:val="auto"/>
                <w:sz w:val="26"/>
                <w:szCs w:val="26"/>
              </w:rPr>
              <w:t>CỘNG HÒA XÃ HỘI CHỦ NGHĨA VIỆT NAM</w:t>
            </w:r>
          </w:p>
          <w:p w:rsidR="00A85CBF" w:rsidRPr="007277DF" w:rsidRDefault="00A85CBF" w:rsidP="00CA206E">
            <w:pPr>
              <w:jc w:val="center"/>
              <w:rPr>
                <w:b/>
                <w:color w:val="auto"/>
              </w:rPr>
            </w:pPr>
            <w:r w:rsidRPr="007277DF">
              <w:rPr>
                <w:b/>
                <w:color w:val="auto"/>
              </w:rPr>
              <w:t>Độc lập  -  Tự do  -  Hạnh phúc</w:t>
            </w:r>
          </w:p>
          <w:p w:rsidR="00A85CBF" w:rsidRPr="007277DF" w:rsidRDefault="003F67C4" w:rsidP="00CA206E">
            <w:pPr>
              <w:jc w:val="center"/>
              <w:rPr>
                <w:color w:val="auto"/>
                <w:sz w:val="16"/>
                <w:szCs w:val="16"/>
              </w:rPr>
            </w:pPr>
            <w:r w:rsidRPr="007277DF">
              <w:rPr>
                <w:b/>
                <w:noProof/>
                <w:color w:val="auto"/>
                <w:sz w:val="16"/>
                <w:szCs w:val="16"/>
              </w:rPr>
              <mc:AlternateContent>
                <mc:Choice Requires="wps">
                  <w:drawing>
                    <wp:anchor distT="0" distB="0" distL="114300" distR="114300" simplePos="0" relativeHeight="251656704" behindDoc="0" locked="0" layoutInCell="1" allowOverlap="1">
                      <wp:simplePos x="0" y="0"/>
                      <wp:positionH relativeFrom="column">
                        <wp:posOffset>782955</wp:posOffset>
                      </wp:positionH>
                      <wp:positionV relativeFrom="paragraph">
                        <wp:posOffset>19685</wp:posOffset>
                      </wp:positionV>
                      <wp:extent cx="2268220" cy="0"/>
                      <wp:effectExtent l="9525" t="6985" r="825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8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D0E8D"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5pt,1.55pt" to="240.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I9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"/>
                  </w:pict>
                </mc:Fallback>
              </mc:AlternateContent>
            </w:r>
          </w:p>
          <w:p w:rsidR="00A85CBF" w:rsidRPr="007277DF" w:rsidRDefault="00A85CBF" w:rsidP="00F11769">
            <w:pPr>
              <w:jc w:val="center"/>
              <w:rPr>
                <w:i/>
                <w:color w:val="auto"/>
              </w:rPr>
            </w:pPr>
            <w:r w:rsidRPr="007277DF">
              <w:rPr>
                <w:i/>
                <w:color w:val="auto"/>
              </w:rPr>
              <w:t xml:space="preserve">Đà Nẵng, ngày </w:t>
            </w:r>
            <w:r w:rsidR="00F926B8">
              <w:rPr>
                <w:i/>
                <w:color w:val="auto"/>
              </w:rPr>
              <w:t>21</w:t>
            </w:r>
            <w:r w:rsidRPr="007277DF">
              <w:rPr>
                <w:i/>
                <w:color w:val="auto"/>
              </w:rPr>
              <w:t xml:space="preserve"> </w:t>
            </w:r>
            <w:r w:rsidR="00F11769" w:rsidRPr="007277DF">
              <w:rPr>
                <w:i/>
                <w:color w:val="auto"/>
              </w:rPr>
              <w:t xml:space="preserve"> </w:t>
            </w:r>
            <w:r w:rsidRPr="007277DF">
              <w:rPr>
                <w:i/>
                <w:color w:val="auto"/>
              </w:rPr>
              <w:t xml:space="preserve"> tháng</w:t>
            </w:r>
            <w:r w:rsidR="007277DF">
              <w:rPr>
                <w:i/>
                <w:color w:val="auto"/>
              </w:rPr>
              <w:t xml:space="preserve"> 5 </w:t>
            </w:r>
            <w:r w:rsidRPr="007277DF">
              <w:rPr>
                <w:i/>
                <w:color w:val="auto"/>
              </w:rPr>
              <w:t>năm 20</w:t>
            </w:r>
            <w:r w:rsidR="005759B0" w:rsidRPr="007277DF">
              <w:rPr>
                <w:i/>
                <w:color w:val="auto"/>
              </w:rPr>
              <w:t>1</w:t>
            </w:r>
            <w:r w:rsidR="00F11769" w:rsidRPr="007277DF">
              <w:rPr>
                <w:i/>
                <w:color w:val="auto"/>
              </w:rPr>
              <w:t>4</w:t>
            </w:r>
          </w:p>
        </w:tc>
      </w:tr>
    </w:tbl>
    <w:p w:rsidR="000E6A8A" w:rsidRDefault="000E6A8A" w:rsidP="007277DF">
      <w:pPr>
        <w:spacing w:before="120"/>
        <w:ind w:firstLine="697"/>
        <w:jc w:val="center"/>
        <w:rPr>
          <w:b/>
          <w:color w:val="auto"/>
          <w:sz w:val="30"/>
          <w:szCs w:val="30"/>
        </w:rPr>
      </w:pPr>
    </w:p>
    <w:p w:rsidR="00A85CBF" w:rsidRPr="007277DF" w:rsidRDefault="00A85CBF" w:rsidP="007277DF">
      <w:pPr>
        <w:spacing w:before="120"/>
        <w:ind w:firstLine="697"/>
        <w:jc w:val="center"/>
        <w:rPr>
          <w:b/>
          <w:color w:val="auto"/>
          <w:sz w:val="30"/>
          <w:szCs w:val="30"/>
        </w:rPr>
      </w:pPr>
      <w:bookmarkStart w:id="0" w:name="_GoBack"/>
      <w:bookmarkEnd w:id="0"/>
      <w:r w:rsidRPr="007277DF">
        <w:rPr>
          <w:b/>
          <w:color w:val="auto"/>
          <w:sz w:val="30"/>
          <w:szCs w:val="30"/>
        </w:rPr>
        <w:t>QUYẾT ĐỊNH</w:t>
      </w:r>
    </w:p>
    <w:p w:rsidR="00261568" w:rsidRDefault="009F5296" w:rsidP="007277DF">
      <w:pPr>
        <w:pStyle w:val="BodyText2"/>
        <w:ind w:firstLine="700"/>
        <w:rPr>
          <w:color w:val="auto"/>
          <w:szCs w:val="28"/>
        </w:rPr>
      </w:pPr>
      <w:r w:rsidRPr="007277DF">
        <w:rPr>
          <w:color w:val="auto"/>
          <w:szCs w:val="28"/>
        </w:rPr>
        <w:t>Sửa đổi</w:t>
      </w:r>
      <w:r w:rsidR="00261568">
        <w:rPr>
          <w:color w:val="auto"/>
          <w:szCs w:val="28"/>
        </w:rPr>
        <w:t xml:space="preserve"> k</w:t>
      </w:r>
      <w:r w:rsidR="000E06C4" w:rsidRPr="007277DF">
        <w:rPr>
          <w:color w:val="auto"/>
          <w:szCs w:val="28"/>
          <w:lang w:val="vi-VN"/>
        </w:rPr>
        <w:t>hoản 1, Điều 5 Quy định một số chính sách</w:t>
      </w:r>
      <w:r w:rsidR="00261568">
        <w:rPr>
          <w:color w:val="auto"/>
          <w:szCs w:val="28"/>
        </w:rPr>
        <w:t xml:space="preserve"> </w:t>
      </w:r>
      <w:r w:rsidR="000E06C4" w:rsidRPr="007277DF">
        <w:rPr>
          <w:color w:val="auto"/>
          <w:szCs w:val="28"/>
          <w:lang w:val="vi-VN"/>
        </w:rPr>
        <w:t>hỗ trợ</w:t>
      </w:r>
    </w:p>
    <w:p w:rsidR="00261568" w:rsidRDefault="000E06C4" w:rsidP="007277DF">
      <w:pPr>
        <w:pStyle w:val="BodyText2"/>
        <w:ind w:firstLine="700"/>
        <w:rPr>
          <w:color w:val="auto"/>
          <w:szCs w:val="28"/>
        </w:rPr>
      </w:pPr>
      <w:r w:rsidRPr="007277DF">
        <w:rPr>
          <w:color w:val="auto"/>
          <w:szCs w:val="28"/>
          <w:lang w:val="vi-VN"/>
        </w:rPr>
        <w:t>doanh nghiệp đổi mới công nghệ trên địa bàn thành phố</w:t>
      </w:r>
      <w:r w:rsidR="00261568">
        <w:rPr>
          <w:color w:val="auto"/>
          <w:szCs w:val="28"/>
        </w:rPr>
        <w:t xml:space="preserve"> </w:t>
      </w:r>
      <w:r w:rsidRPr="007277DF">
        <w:rPr>
          <w:color w:val="auto"/>
          <w:szCs w:val="28"/>
          <w:lang w:val="vi-VN"/>
        </w:rPr>
        <w:t>Đà Nẵng</w:t>
      </w:r>
    </w:p>
    <w:p w:rsidR="007277DF" w:rsidRDefault="000E06C4" w:rsidP="007277DF">
      <w:pPr>
        <w:pStyle w:val="BodyText2"/>
        <w:ind w:firstLine="700"/>
        <w:rPr>
          <w:color w:val="auto"/>
        </w:rPr>
      </w:pPr>
      <w:r w:rsidRPr="007277DF">
        <w:rPr>
          <w:color w:val="auto"/>
          <w:szCs w:val="28"/>
          <w:lang w:val="vi-VN"/>
        </w:rPr>
        <w:t>ban hành kèm theo</w:t>
      </w:r>
      <w:r w:rsidR="005759B0" w:rsidRPr="007277DF">
        <w:rPr>
          <w:color w:val="auto"/>
          <w:szCs w:val="28"/>
          <w:lang w:val="vi-VN"/>
        </w:rPr>
        <w:t xml:space="preserve"> </w:t>
      </w:r>
      <w:r w:rsidR="009F5296" w:rsidRPr="007277DF">
        <w:rPr>
          <w:color w:val="auto"/>
          <w:lang w:val="vi-VN"/>
        </w:rPr>
        <w:t xml:space="preserve">Quyết định số 08/2012/QĐ-UBND </w:t>
      </w:r>
    </w:p>
    <w:p w:rsidR="00631D0A" w:rsidRPr="007277DF" w:rsidRDefault="009F5296" w:rsidP="007277DF">
      <w:pPr>
        <w:pStyle w:val="BodyText2"/>
        <w:ind w:firstLine="700"/>
        <w:rPr>
          <w:color w:val="auto"/>
          <w:szCs w:val="28"/>
          <w:lang w:val="vi-VN"/>
        </w:rPr>
      </w:pPr>
      <w:r w:rsidRPr="007277DF">
        <w:rPr>
          <w:color w:val="auto"/>
          <w:lang w:val="vi-VN"/>
        </w:rPr>
        <w:t>ngày 02</w:t>
      </w:r>
      <w:r w:rsidR="00261568">
        <w:rPr>
          <w:color w:val="auto"/>
        </w:rPr>
        <w:t>/</w:t>
      </w:r>
      <w:r w:rsidRPr="007277DF">
        <w:rPr>
          <w:color w:val="auto"/>
          <w:lang w:val="vi-VN"/>
        </w:rPr>
        <w:t>3</w:t>
      </w:r>
      <w:r w:rsidR="00261568">
        <w:rPr>
          <w:color w:val="auto"/>
        </w:rPr>
        <w:t>/</w:t>
      </w:r>
      <w:r w:rsidRPr="007277DF">
        <w:rPr>
          <w:color w:val="auto"/>
          <w:lang w:val="vi-VN"/>
        </w:rPr>
        <w:t>2012 của UBND thành phố Đà Nẵng</w:t>
      </w:r>
    </w:p>
    <w:p w:rsidR="009A2480" w:rsidRPr="007277DF" w:rsidRDefault="003F67C4" w:rsidP="007277DF">
      <w:pPr>
        <w:ind w:firstLine="700"/>
        <w:jc w:val="center"/>
        <w:rPr>
          <w:b/>
          <w:color w:val="auto"/>
          <w:lang w:val="vi-VN"/>
        </w:rPr>
      </w:pPr>
      <w:r w:rsidRPr="007277DF">
        <w:rPr>
          <w:b/>
          <w:noProof/>
          <w:color w:val="auto"/>
        </w:rPr>
        <mc:AlternateContent>
          <mc:Choice Requires="wps">
            <w:drawing>
              <wp:anchor distT="0" distB="0" distL="114300" distR="114300" simplePos="0" relativeHeight="251658752" behindDoc="0" locked="0" layoutInCell="1" allowOverlap="1">
                <wp:simplePos x="0" y="0"/>
                <wp:positionH relativeFrom="column">
                  <wp:posOffset>2155825</wp:posOffset>
                </wp:positionH>
                <wp:positionV relativeFrom="paragraph">
                  <wp:posOffset>80645</wp:posOffset>
                </wp:positionV>
                <wp:extent cx="1838325" cy="0"/>
                <wp:effectExtent l="8890" t="6350" r="1016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B5418" id="_x0000_t32" coordsize="21600,21600" o:spt="32" o:oned="t" path="m,l21600,21600e" filled="f">
                <v:path arrowok="t" fillok="f" o:connecttype="none"/>
                <o:lock v:ext="edit" shapetype="t"/>
              </v:shapetype>
              <v:shape id="AutoShape 4" o:spid="_x0000_s1026" type="#_x0000_t32" style="position:absolute;margin-left:169.75pt;margin-top:6.35pt;width:14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"/>
            </w:pict>
          </mc:Fallback>
        </mc:AlternateContent>
      </w:r>
    </w:p>
    <w:p w:rsidR="00220188" w:rsidRPr="007277DF" w:rsidRDefault="00A85CBF" w:rsidP="007277DF">
      <w:pPr>
        <w:spacing w:before="240" w:after="240"/>
        <w:ind w:firstLine="697"/>
        <w:jc w:val="center"/>
        <w:rPr>
          <w:b/>
          <w:color w:val="auto"/>
        </w:rPr>
      </w:pPr>
      <w:r w:rsidRPr="007277DF">
        <w:rPr>
          <w:b/>
          <w:color w:val="auto"/>
        </w:rPr>
        <w:t>ỦY BAN NHÂN DÂN THÀNH PHỐ ĐÀ NẴNG</w:t>
      </w:r>
    </w:p>
    <w:p w:rsidR="00220188" w:rsidRPr="007277DF" w:rsidRDefault="00A85CBF" w:rsidP="007277DF">
      <w:pPr>
        <w:tabs>
          <w:tab w:val="num" w:pos="980"/>
        </w:tabs>
        <w:spacing w:before="60" w:after="60"/>
        <w:ind w:firstLine="697"/>
        <w:jc w:val="both"/>
        <w:rPr>
          <w:color w:val="auto"/>
        </w:rPr>
      </w:pPr>
      <w:r w:rsidRPr="007277DF">
        <w:rPr>
          <w:color w:val="auto"/>
        </w:rPr>
        <w:t xml:space="preserve">Căn cứ Luật Tổ chức Hội đồng nhân dân và </w:t>
      </w:r>
      <w:r w:rsidR="005759B0" w:rsidRPr="007277DF">
        <w:rPr>
          <w:color w:val="auto"/>
        </w:rPr>
        <w:t>Ủy ban nhân dân</w:t>
      </w:r>
      <w:r w:rsidRPr="007277DF">
        <w:rPr>
          <w:color w:val="auto"/>
        </w:rPr>
        <w:t xml:space="preserve"> ngày 26 tháng 11 năm 2003;</w:t>
      </w:r>
    </w:p>
    <w:p w:rsidR="001B2C34" w:rsidRPr="007277DF" w:rsidRDefault="001B2C34" w:rsidP="007277DF">
      <w:pPr>
        <w:tabs>
          <w:tab w:val="num" w:pos="980"/>
        </w:tabs>
        <w:spacing w:before="60" w:after="60"/>
        <w:ind w:firstLine="697"/>
        <w:jc w:val="both"/>
        <w:rPr>
          <w:color w:val="auto"/>
        </w:rPr>
      </w:pPr>
      <w:r w:rsidRPr="007277DF">
        <w:rPr>
          <w:color w:val="auto"/>
        </w:rPr>
        <w:t>Căn cứ Nghị định số 119/1999/NĐ-CP ngày 18 tháng 9 năm 1999 của Chính phủ về một số chính sách và cơ chế tài chính khuyến khích các doanh nghiệp đầu tư vào hoạt động khoa học và công nghệ;</w:t>
      </w:r>
    </w:p>
    <w:p w:rsidR="0024437B" w:rsidRPr="007277DF" w:rsidRDefault="0024437B" w:rsidP="007277DF">
      <w:pPr>
        <w:tabs>
          <w:tab w:val="num" w:pos="980"/>
        </w:tabs>
        <w:spacing w:before="60" w:after="60"/>
        <w:ind w:firstLine="697"/>
        <w:jc w:val="both"/>
        <w:rPr>
          <w:color w:val="auto"/>
        </w:rPr>
      </w:pPr>
      <w:r w:rsidRPr="007277DF">
        <w:rPr>
          <w:color w:val="auto"/>
        </w:rPr>
        <w:t>Căn cứ Nghị định số 56/2009/NĐ-CP ngày 30 tháng 6 năm 2009 của Chính phủ về trợ giúp phát triển doanh nghiệp nhỏ và vừa;</w:t>
      </w:r>
    </w:p>
    <w:p w:rsidR="0019176D" w:rsidRPr="007277DF" w:rsidRDefault="0019176D" w:rsidP="007277DF">
      <w:pPr>
        <w:tabs>
          <w:tab w:val="num" w:pos="980"/>
        </w:tabs>
        <w:spacing w:before="60" w:after="60"/>
        <w:ind w:firstLine="697"/>
        <w:jc w:val="both"/>
        <w:rPr>
          <w:color w:val="auto"/>
        </w:rPr>
      </w:pPr>
      <w:r w:rsidRPr="007277DF">
        <w:rPr>
          <w:color w:val="auto"/>
        </w:rPr>
        <w:t>Căn cứ Quyết định số 677/QĐ-TTg ngày 10 tháng 5 năm 2011 của Thủ tướng Chính phủ về việc phê duyệt Chương trình đổi mới công nghệ quốc gia đến năm 2020;</w:t>
      </w:r>
    </w:p>
    <w:p w:rsidR="000F3E39" w:rsidRPr="007277DF" w:rsidRDefault="000F3E39" w:rsidP="007277DF">
      <w:pPr>
        <w:tabs>
          <w:tab w:val="num" w:pos="980"/>
        </w:tabs>
        <w:spacing w:before="60" w:after="60"/>
        <w:ind w:firstLine="697"/>
        <w:jc w:val="both"/>
        <w:rPr>
          <w:bCs/>
          <w:color w:val="auto"/>
        </w:rPr>
      </w:pPr>
      <w:r w:rsidRPr="007277DF">
        <w:rPr>
          <w:bCs/>
          <w:color w:val="auto"/>
        </w:rPr>
        <w:t>Căn cứ Thông tư liên tịch số 22/2011/TTLT-BTC-</w:t>
      </w:r>
      <w:r w:rsidR="0055685A" w:rsidRPr="007277DF">
        <w:rPr>
          <w:bCs/>
          <w:color w:val="auto"/>
        </w:rPr>
        <w:t>BKHCN ngày 21 tháng 2 năm 2011 L</w:t>
      </w:r>
      <w:r w:rsidRPr="007277DF">
        <w:rPr>
          <w:bCs/>
          <w:color w:val="auto"/>
        </w:rPr>
        <w:t xml:space="preserve">iên </w:t>
      </w:r>
      <w:r w:rsidR="0055685A" w:rsidRPr="007277DF">
        <w:rPr>
          <w:bCs/>
          <w:color w:val="auto"/>
        </w:rPr>
        <w:t xml:space="preserve">bộ </w:t>
      </w:r>
      <w:r w:rsidRPr="007277DF">
        <w:rPr>
          <w:bCs/>
          <w:color w:val="auto"/>
        </w:rPr>
        <w:t xml:space="preserve">Bộ </w:t>
      </w:r>
      <w:r w:rsidR="0055685A" w:rsidRPr="007277DF">
        <w:rPr>
          <w:bCs/>
          <w:color w:val="auto"/>
        </w:rPr>
        <w:t>Khoa học và Công nghệ</w:t>
      </w:r>
      <w:r w:rsidRPr="007277DF">
        <w:rPr>
          <w:bCs/>
          <w:color w:val="auto"/>
        </w:rPr>
        <w:t>, Bộ Tài chính hướng dẫn quản lý tài chính đối với các dự án sản xuất thử nghiệm được ngân sách nhà nước hỗ trợ kinh phí;</w:t>
      </w:r>
    </w:p>
    <w:p w:rsidR="00220188" w:rsidRPr="007277DF" w:rsidRDefault="00220188" w:rsidP="007277DF">
      <w:pPr>
        <w:tabs>
          <w:tab w:val="num" w:pos="980"/>
        </w:tabs>
        <w:spacing w:before="60" w:after="60"/>
        <w:ind w:firstLine="697"/>
        <w:jc w:val="both"/>
        <w:rPr>
          <w:color w:val="auto"/>
        </w:rPr>
      </w:pPr>
      <w:r w:rsidRPr="007277DF">
        <w:rPr>
          <w:color w:val="auto"/>
        </w:rPr>
        <w:t>Theo đề nghị của Giám đốc Sở Khoa học và Công nghệ</w:t>
      </w:r>
      <w:r w:rsidR="000E238D" w:rsidRPr="007277DF">
        <w:rPr>
          <w:color w:val="auto"/>
        </w:rPr>
        <w:t xml:space="preserve"> tại Tờ trình số </w:t>
      </w:r>
      <w:r w:rsidR="007277DF">
        <w:rPr>
          <w:color w:val="auto"/>
        </w:rPr>
        <w:t>14</w:t>
      </w:r>
      <w:r w:rsidR="0056447D" w:rsidRPr="007277DF">
        <w:rPr>
          <w:color w:val="auto"/>
        </w:rPr>
        <w:t xml:space="preserve">/TTr-SKHCN ngày </w:t>
      </w:r>
      <w:r w:rsidR="007277DF">
        <w:rPr>
          <w:color w:val="auto"/>
        </w:rPr>
        <w:t xml:space="preserve">05 </w:t>
      </w:r>
      <w:r w:rsidR="000E238D" w:rsidRPr="007277DF">
        <w:rPr>
          <w:color w:val="auto"/>
        </w:rPr>
        <w:t xml:space="preserve">tháng </w:t>
      </w:r>
      <w:r w:rsidR="007277DF">
        <w:rPr>
          <w:color w:val="auto"/>
        </w:rPr>
        <w:t>5</w:t>
      </w:r>
      <w:r w:rsidR="000E238D" w:rsidRPr="007277DF">
        <w:rPr>
          <w:color w:val="auto"/>
        </w:rPr>
        <w:t xml:space="preserve"> năm 2014</w:t>
      </w:r>
      <w:r w:rsidR="002729F5" w:rsidRPr="007277DF">
        <w:rPr>
          <w:color w:val="auto"/>
        </w:rPr>
        <w:t>,</w:t>
      </w:r>
    </w:p>
    <w:p w:rsidR="00A85CBF" w:rsidRPr="007277DF" w:rsidRDefault="00A85CBF" w:rsidP="007277DF">
      <w:pPr>
        <w:spacing w:before="360" w:after="240"/>
        <w:ind w:firstLine="697"/>
        <w:jc w:val="center"/>
        <w:rPr>
          <w:color w:val="auto"/>
        </w:rPr>
      </w:pPr>
      <w:r w:rsidRPr="007277DF">
        <w:rPr>
          <w:b/>
          <w:color w:val="auto"/>
        </w:rPr>
        <w:t>QUYẾT ĐỊNH</w:t>
      </w:r>
      <w:r w:rsidRPr="007277DF">
        <w:rPr>
          <w:color w:val="auto"/>
        </w:rPr>
        <w:t>:</w:t>
      </w:r>
    </w:p>
    <w:p w:rsidR="00FF0C4F" w:rsidRPr="007277DF" w:rsidRDefault="00030A61" w:rsidP="007277DF">
      <w:pPr>
        <w:ind w:firstLine="697"/>
        <w:jc w:val="both"/>
        <w:rPr>
          <w:color w:val="auto"/>
          <w:lang w:val="vi-VN"/>
        </w:rPr>
      </w:pPr>
      <w:r w:rsidRPr="007277DF">
        <w:rPr>
          <w:color w:val="auto"/>
        </w:rPr>
        <w:tab/>
      </w:r>
      <w:r w:rsidR="00A85CBF" w:rsidRPr="007277DF">
        <w:rPr>
          <w:b/>
          <w:color w:val="auto"/>
        </w:rPr>
        <w:t xml:space="preserve">Điều 1. </w:t>
      </w:r>
      <w:r w:rsidR="004E7B60" w:rsidRPr="007277DF">
        <w:rPr>
          <w:color w:val="auto"/>
        </w:rPr>
        <w:t xml:space="preserve">Sửa đổi </w:t>
      </w:r>
      <w:r w:rsidR="00261568">
        <w:rPr>
          <w:color w:val="auto"/>
        </w:rPr>
        <w:t>k</w:t>
      </w:r>
      <w:r w:rsidR="000564EA" w:rsidRPr="007277DF">
        <w:rPr>
          <w:color w:val="auto"/>
          <w:lang w:val="vi-VN"/>
        </w:rPr>
        <w:t>hoản 1, Điều 5 Quy định một số chính sách hỗ trợ doanh nghiệp đổi mới công nghệ trên địa bàn thành phố Đà Nẵng ban hành kèm theo Quyết định số 08/2012/QĐ-UBND ngày 02</w:t>
      </w:r>
      <w:r w:rsidR="00261568">
        <w:rPr>
          <w:color w:val="auto"/>
        </w:rPr>
        <w:t>/</w:t>
      </w:r>
      <w:r w:rsidR="000564EA" w:rsidRPr="007277DF">
        <w:rPr>
          <w:color w:val="auto"/>
          <w:lang w:val="vi-VN"/>
        </w:rPr>
        <w:t>3</w:t>
      </w:r>
      <w:r w:rsidR="00261568">
        <w:rPr>
          <w:color w:val="auto"/>
        </w:rPr>
        <w:t>/</w:t>
      </w:r>
      <w:r w:rsidR="000564EA" w:rsidRPr="007277DF">
        <w:rPr>
          <w:color w:val="auto"/>
          <w:lang w:val="vi-VN"/>
        </w:rPr>
        <w:t>2012 của UBND thành phố Đà Nẵng</w:t>
      </w:r>
      <w:r w:rsidR="00005472" w:rsidRPr="007277DF">
        <w:rPr>
          <w:color w:val="auto"/>
        </w:rPr>
        <w:t xml:space="preserve"> như</w:t>
      </w:r>
      <w:r w:rsidR="00FF0C4F" w:rsidRPr="007277DF">
        <w:rPr>
          <w:color w:val="auto"/>
          <w:lang w:val="vi-VN"/>
        </w:rPr>
        <w:t xml:space="preserve"> sau:</w:t>
      </w:r>
    </w:p>
    <w:p w:rsidR="000564EA" w:rsidRPr="007277DF" w:rsidRDefault="00261568" w:rsidP="007277DF">
      <w:pPr>
        <w:spacing w:before="120" w:after="120"/>
        <w:ind w:firstLine="697"/>
        <w:jc w:val="both"/>
        <w:rPr>
          <w:color w:val="auto"/>
          <w:lang w:val="vi-VN"/>
        </w:rPr>
      </w:pPr>
      <w:r w:rsidRPr="00261568">
        <w:rPr>
          <w:color w:val="auto"/>
          <w:lang w:val="vi-VN"/>
        </w:rPr>
        <w:t>"</w:t>
      </w:r>
      <w:r w:rsidR="000564EA" w:rsidRPr="007277DF">
        <w:rPr>
          <w:color w:val="auto"/>
          <w:lang w:val="vi-VN"/>
        </w:rPr>
        <w:t>1. Đối với các doanh nghiệp (quy định tại Khoản 1, Điều 3):</w:t>
      </w:r>
    </w:p>
    <w:p w:rsidR="000564EA" w:rsidRPr="007277DF" w:rsidRDefault="000564EA" w:rsidP="007277DF">
      <w:pPr>
        <w:spacing w:before="120" w:after="120"/>
        <w:ind w:firstLine="697"/>
        <w:jc w:val="both"/>
        <w:rPr>
          <w:color w:val="auto"/>
          <w:lang w:val="vi-VN"/>
        </w:rPr>
      </w:pPr>
      <w:r w:rsidRPr="007277DF">
        <w:rPr>
          <w:color w:val="auto"/>
          <w:lang w:val="vi-VN"/>
        </w:rPr>
        <w:tab/>
        <w:t>a) Các điều kiện bắt buộc:</w:t>
      </w:r>
    </w:p>
    <w:p w:rsidR="00B5209E" w:rsidRPr="007277DF" w:rsidRDefault="000564EA" w:rsidP="007277DF">
      <w:pPr>
        <w:spacing w:before="120" w:after="120"/>
        <w:ind w:firstLine="697"/>
        <w:jc w:val="both"/>
        <w:rPr>
          <w:color w:val="auto"/>
          <w:lang w:val="vi-VN"/>
        </w:rPr>
      </w:pPr>
      <w:r w:rsidRPr="007277DF">
        <w:rPr>
          <w:color w:val="auto"/>
          <w:lang w:val="vi-VN"/>
        </w:rPr>
        <w:tab/>
      </w:r>
      <w:r w:rsidR="00B5209E" w:rsidRPr="007277DF">
        <w:rPr>
          <w:color w:val="auto"/>
          <w:lang w:val="vi-VN"/>
        </w:rPr>
        <w:t>- Thực hiện đổi mới, cải tiến công nghệ thuộc các lĩnh vực quy định tại Điều 4 đã được triển khai tại doanh nghiệp và mang lại hiệu quả;</w:t>
      </w:r>
    </w:p>
    <w:p w:rsidR="00B5209E" w:rsidRPr="007277DF" w:rsidRDefault="00B5209E" w:rsidP="007277DF">
      <w:pPr>
        <w:spacing w:before="120" w:after="120"/>
        <w:ind w:firstLine="697"/>
        <w:jc w:val="both"/>
        <w:rPr>
          <w:color w:val="auto"/>
          <w:lang w:val="vi-VN"/>
        </w:rPr>
      </w:pPr>
      <w:r w:rsidRPr="007277DF">
        <w:rPr>
          <w:color w:val="auto"/>
          <w:lang w:val="vi-VN"/>
        </w:rPr>
        <w:tab/>
        <w:t>- Thực hiện đầy đủ các nghĩa vụ thuế theo quy định hiện hành của nhà nước.</w:t>
      </w:r>
    </w:p>
    <w:p w:rsidR="00E70DAB" w:rsidRPr="007277DF" w:rsidRDefault="00E70DAB" w:rsidP="007277DF">
      <w:pPr>
        <w:spacing w:before="120" w:after="120"/>
        <w:ind w:firstLine="697"/>
        <w:jc w:val="both"/>
        <w:rPr>
          <w:color w:val="auto"/>
          <w:lang w:val="vi-VN"/>
        </w:rPr>
      </w:pPr>
      <w:r w:rsidRPr="007277DF">
        <w:rPr>
          <w:color w:val="auto"/>
          <w:lang w:val="vi-VN"/>
        </w:rPr>
        <w:tab/>
        <w:t>b) Các điều kiện xem xét ưu tiên:</w:t>
      </w:r>
    </w:p>
    <w:p w:rsidR="00B5209E" w:rsidRPr="007277DF" w:rsidRDefault="00E70DAB" w:rsidP="007277DF">
      <w:pPr>
        <w:spacing w:before="120" w:after="120"/>
        <w:ind w:firstLine="697"/>
        <w:jc w:val="both"/>
        <w:rPr>
          <w:color w:val="auto"/>
          <w:lang w:val="vi-VN"/>
        </w:rPr>
      </w:pPr>
      <w:r w:rsidRPr="007277DF">
        <w:rPr>
          <w:color w:val="auto"/>
          <w:lang w:val="vi-VN"/>
        </w:rPr>
        <w:lastRenderedPageBreak/>
        <w:tab/>
      </w:r>
      <w:r w:rsidR="00B5209E" w:rsidRPr="007277DF">
        <w:rPr>
          <w:color w:val="auto"/>
          <w:lang w:val="vi-VN"/>
        </w:rPr>
        <w:t xml:space="preserve">- Các doanh nghiệp có quy mô từ 20 lao động trở lên; có doanh thu bình quân trong 3 năm, mỗi năm từ 10 tỷ đồng trở lên; </w:t>
      </w:r>
    </w:p>
    <w:p w:rsidR="00B5209E" w:rsidRPr="007277DF" w:rsidRDefault="00B5209E" w:rsidP="007277DF">
      <w:pPr>
        <w:spacing w:before="120" w:after="120"/>
        <w:ind w:firstLine="697"/>
        <w:jc w:val="both"/>
        <w:rPr>
          <w:color w:val="auto"/>
          <w:lang w:val="vi-VN"/>
        </w:rPr>
      </w:pPr>
      <w:r w:rsidRPr="007277DF">
        <w:rPr>
          <w:color w:val="auto"/>
          <w:lang w:val="vi-VN"/>
        </w:rPr>
        <w:tab/>
        <w:t>- Tham gia sản xuất sản phẩm chủ lực của thành phố; sản xuất hàng xuất khẩu, các mặt hàng thành phố ưu tiên phát triển;</w:t>
      </w:r>
      <w:r w:rsidRPr="007277DF">
        <w:rPr>
          <w:color w:val="auto"/>
          <w:lang w:val="vi-VN"/>
        </w:rPr>
        <w:tab/>
      </w:r>
    </w:p>
    <w:p w:rsidR="00B5209E" w:rsidRPr="007277DF" w:rsidRDefault="00B5209E" w:rsidP="007277DF">
      <w:pPr>
        <w:spacing w:before="120" w:after="120"/>
        <w:ind w:firstLine="697"/>
        <w:jc w:val="both"/>
        <w:rPr>
          <w:color w:val="auto"/>
          <w:lang w:val="vi-VN"/>
        </w:rPr>
      </w:pPr>
      <w:r w:rsidRPr="007277DF">
        <w:rPr>
          <w:color w:val="auto"/>
          <w:lang w:val="vi-VN"/>
        </w:rPr>
        <w:tab/>
        <w:t>- Các doanh nghiệp đã đạt Giải thưởng Chất lượng Việt Nam;</w:t>
      </w:r>
    </w:p>
    <w:p w:rsidR="00B5209E" w:rsidRPr="007277DF" w:rsidRDefault="00B5209E" w:rsidP="007277DF">
      <w:pPr>
        <w:spacing w:before="120" w:after="120"/>
        <w:ind w:firstLine="697"/>
        <w:jc w:val="both"/>
        <w:rPr>
          <w:color w:val="auto"/>
          <w:lang w:val="vi-VN"/>
        </w:rPr>
      </w:pPr>
      <w:r w:rsidRPr="007277DF">
        <w:rPr>
          <w:color w:val="auto"/>
          <w:lang w:val="vi-VN"/>
        </w:rPr>
        <w:tab/>
        <w:t>- Không vi phạm các quy định của pháp luật về môi trường;</w:t>
      </w:r>
    </w:p>
    <w:p w:rsidR="00B5209E" w:rsidRPr="007277DF" w:rsidRDefault="00B5209E" w:rsidP="007277DF">
      <w:pPr>
        <w:spacing w:before="120" w:after="120"/>
        <w:ind w:firstLine="697"/>
        <w:jc w:val="both"/>
        <w:rPr>
          <w:color w:val="auto"/>
          <w:lang w:val="vi-VN"/>
        </w:rPr>
      </w:pPr>
      <w:r w:rsidRPr="007277DF">
        <w:rPr>
          <w:color w:val="auto"/>
          <w:lang w:val="vi-VN"/>
        </w:rPr>
        <w:tab/>
        <w:t>- Thực hiện tốt các hoạt động xã hội;</w:t>
      </w:r>
    </w:p>
    <w:p w:rsidR="00E70DAB" w:rsidRPr="007277DF" w:rsidRDefault="00B5209E" w:rsidP="007277DF">
      <w:pPr>
        <w:spacing w:before="120" w:after="120"/>
        <w:ind w:firstLine="697"/>
        <w:jc w:val="both"/>
        <w:rPr>
          <w:color w:val="auto"/>
          <w:lang w:val="vi-VN"/>
        </w:rPr>
      </w:pPr>
      <w:r w:rsidRPr="007277DF">
        <w:rPr>
          <w:color w:val="auto"/>
          <w:lang w:val="vi-VN"/>
        </w:rPr>
        <w:tab/>
        <w:t>- Các doanh nghiệp thực hiện nghiêm các chế độ báo cáo về hoạt động tổ chức triển khai đổi mới công nghệ, thống kê khoa học và công nghệ của doanh nghiệp theo quy định hiện hành của nhà nước;</w:t>
      </w:r>
    </w:p>
    <w:p w:rsidR="00E70DAB" w:rsidRPr="007277DF" w:rsidRDefault="00E70DAB" w:rsidP="007277DF">
      <w:pPr>
        <w:ind w:firstLine="697"/>
        <w:jc w:val="both"/>
        <w:rPr>
          <w:color w:val="auto"/>
          <w:lang w:val="vi-VN"/>
        </w:rPr>
      </w:pPr>
      <w:r w:rsidRPr="007277DF">
        <w:rPr>
          <w:color w:val="auto"/>
          <w:lang w:val="vi-VN"/>
        </w:rPr>
        <w:tab/>
        <w:t>- Doanh nghiệp có trích lập Quỹ phát triển khoa học công nghệ của doanh</w:t>
      </w:r>
      <w:r w:rsidR="00B5209E" w:rsidRPr="007277DF">
        <w:rPr>
          <w:color w:val="auto"/>
          <w:lang w:val="vi-VN"/>
        </w:rPr>
        <w:t xml:space="preserve"> nghiệp</w:t>
      </w:r>
      <w:r w:rsidR="003B08A3" w:rsidRPr="003B08A3">
        <w:rPr>
          <w:color w:val="auto"/>
          <w:lang w:val="vi-VN"/>
        </w:rPr>
        <w:t>"</w:t>
      </w:r>
      <w:r w:rsidR="00B5209E" w:rsidRPr="007277DF">
        <w:rPr>
          <w:color w:val="auto"/>
          <w:lang w:val="vi-VN"/>
        </w:rPr>
        <w:t>.</w:t>
      </w:r>
    </w:p>
    <w:p w:rsidR="007277DF" w:rsidRPr="003B08A3" w:rsidRDefault="00E70DAB" w:rsidP="007277DF">
      <w:pPr>
        <w:ind w:firstLine="697"/>
        <w:jc w:val="both"/>
        <w:rPr>
          <w:color w:val="auto"/>
          <w:lang w:val="vi-VN"/>
        </w:rPr>
      </w:pPr>
      <w:r w:rsidRPr="007277DF">
        <w:rPr>
          <w:color w:val="auto"/>
          <w:lang w:val="vi-VN"/>
        </w:rPr>
        <w:tab/>
      </w:r>
    </w:p>
    <w:p w:rsidR="00C83094" w:rsidRPr="007277DF" w:rsidRDefault="002E300C" w:rsidP="007277DF">
      <w:pPr>
        <w:ind w:firstLine="697"/>
        <w:jc w:val="both"/>
        <w:rPr>
          <w:b/>
          <w:color w:val="auto"/>
        </w:rPr>
      </w:pPr>
      <w:r w:rsidRPr="007277DF">
        <w:rPr>
          <w:b/>
          <w:color w:val="auto"/>
        </w:rPr>
        <w:t xml:space="preserve">Điều </w:t>
      </w:r>
      <w:r w:rsidR="00C83094" w:rsidRPr="007277DF">
        <w:rPr>
          <w:b/>
          <w:color w:val="auto"/>
        </w:rPr>
        <w:t>2</w:t>
      </w:r>
      <w:r w:rsidRPr="007277DF">
        <w:rPr>
          <w:b/>
          <w:color w:val="auto"/>
        </w:rPr>
        <w:t xml:space="preserve">. </w:t>
      </w:r>
      <w:r w:rsidR="00C83094" w:rsidRPr="007277DF">
        <w:rPr>
          <w:color w:val="auto"/>
        </w:rPr>
        <w:t>Giám đốc Sở Khoa học và Công nghệ chịu trách nhiệm hướng dẫn triển khai Quy định nêu tại Điều 1.</w:t>
      </w:r>
    </w:p>
    <w:p w:rsidR="007277DF" w:rsidRDefault="00C83094" w:rsidP="007277DF">
      <w:pPr>
        <w:pStyle w:val="BodyText2"/>
        <w:ind w:firstLine="697"/>
        <w:jc w:val="both"/>
        <w:rPr>
          <w:b w:val="0"/>
          <w:color w:val="auto"/>
          <w:szCs w:val="28"/>
        </w:rPr>
      </w:pPr>
      <w:r w:rsidRPr="007277DF">
        <w:rPr>
          <w:b w:val="0"/>
          <w:color w:val="auto"/>
          <w:szCs w:val="28"/>
        </w:rPr>
        <w:tab/>
      </w:r>
    </w:p>
    <w:p w:rsidR="00746764" w:rsidRPr="007277DF" w:rsidRDefault="00C83094" w:rsidP="007277DF">
      <w:pPr>
        <w:pStyle w:val="BodyText2"/>
        <w:ind w:firstLine="697"/>
        <w:jc w:val="both"/>
        <w:rPr>
          <w:b w:val="0"/>
          <w:color w:val="auto"/>
          <w:szCs w:val="28"/>
        </w:rPr>
      </w:pPr>
      <w:r w:rsidRPr="007277DF">
        <w:rPr>
          <w:color w:val="auto"/>
          <w:szCs w:val="28"/>
        </w:rPr>
        <w:t>Điều 3</w:t>
      </w:r>
      <w:r w:rsidRPr="007277DF">
        <w:rPr>
          <w:b w:val="0"/>
          <w:color w:val="auto"/>
          <w:szCs w:val="28"/>
        </w:rPr>
        <w:t xml:space="preserve">. </w:t>
      </w:r>
      <w:r w:rsidR="00BE2EB2" w:rsidRPr="007277DF">
        <w:rPr>
          <w:b w:val="0"/>
          <w:color w:val="auto"/>
          <w:szCs w:val="28"/>
        </w:rPr>
        <w:t xml:space="preserve">Quyết định này có hiệu lực </w:t>
      </w:r>
      <w:r w:rsidR="000E06C4" w:rsidRPr="007277DF">
        <w:rPr>
          <w:b w:val="0"/>
          <w:color w:val="auto"/>
          <w:szCs w:val="28"/>
          <w:lang w:val="vi-VN"/>
        </w:rPr>
        <w:t xml:space="preserve">sau 10 ngày </w:t>
      </w:r>
      <w:r w:rsidR="00DB7183" w:rsidRPr="007277DF">
        <w:rPr>
          <w:b w:val="0"/>
          <w:color w:val="auto"/>
          <w:szCs w:val="28"/>
        </w:rPr>
        <w:t xml:space="preserve">kể từ ngày ký. </w:t>
      </w:r>
    </w:p>
    <w:p w:rsidR="007277DF" w:rsidRDefault="007277DF" w:rsidP="007277DF">
      <w:pPr>
        <w:pStyle w:val="BodyText2"/>
        <w:ind w:firstLine="697"/>
        <w:jc w:val="both"/>
        <w:rPr>
          <w:b w:val="0"/>
          <w:color w:val="auto"/>
          <w:szCs w:val="28"/>
        </w:rPr>
      </w:pPr>
    </w:p>
    <w:p w:rsidR="0086162D" w:rsidRDefault="002E300C" w:rsidP="007277DF">
      <w:pPr>
        <w:pStyle w:val="BodyText2"/>
        <w:ind w:firstLine="697"/>
        <w:jc w:val="both"/>
        <w:rPr>
          <w:b w:val="0"/>
          <w:color w:val="auto"/>
          <w:szCs w:val="28"/>
        </w:rPr>
      </w:pPr>
      <w:r w:rsidRPr="007277DF">
        <w:rPr>
          <w:b w:val="0"/>
          <w:color w:val="auto"/>
          <w:szCs w:val="28"/>
        </w:rPr>
        <w:tab/>
      </w:r>
      <w:r w:rsidRPr="007277DF">
        <w:rPr>
          <w:color w:val="auto"/>
          <w:szCs w:val="28"/>
        </w:rPr>
        <w:t xml:space="preserve">Điều </w:t>
      </w:r>
      <w:r w:rsidR="00C83094" w:rsidRPr="007277DF">
        <w:rPr>
          <w:color w:val="auto"/>
          <w:szCs w:val="28"/>
        </w:rPr>
        <w:t>4</w:t>
      </w:r>
      <w:r w:rsidRPr="007277DF">
        <w:rPr>
          <w:b w:val="0"/>
          <w:color w:val="auto"/>
          <w:szCs w:val="28"/>
        </w:rPr>
        <w:t xml:space="preserve">. Chánh Văn phòng UBND thành phố, Giám đốc </w:t>
      </w:r>
      <w:r w:rsidR="007932E9" w:rsidRPr="007277DF">
        <w:rPr>
          <w:b w:val="0"/>
          <w:color w:val="auto"/>
          <w:szCs w:val="28"/>
        </w:rPr>
        <w:t>cá</w:t>
      </w:r>
      <w:r w:rsidR="00F055D9" w:rsidRPr="007277DF">
        <w:rPr>
          <w:b w:val="0"/>
          <w:color w:val="auto"/>
          <w:szCs w:val="28"/>
        </w:rPr>
        <w:t>c s</w:t>
      </w:r>
      <w:r w:rsidR="007932E9" w:rsidRPr="007277DF">
        <w:rPr>
          <w:b w:val="0"/>
          <w:color w:val="auto"/>
          <w:szCs w:val="28"/>
        </w:rPr>
        <w:t>ở</w:t>
      </w:r>
      <w:r w:rsidR="00F055D9" w:rsidRPr="007277DF">
        <w:rPr>
          <w:b w:val="0"/>
          <w:color w:val="auto"/>
          <w:szCs w:val="28"/>
        </w:rPr>
        <w:t>:</w:t>
      </w:r>
      <w:r w:rsidR="007932E9" w:rsidRPr="007277DF">
        <w:rPr>
          <w:b w:val="0"/>
          <w:color w:val="auto"/>
          <w:szCs w:val="28"/>
        </w:rPr>
        <w:t xml:space="preserve"> </w:t>
      </w:r>
      <w:r w:rsidRPr="007277DF">
        <w:rPr>
          <w:b w:val="0"/>
          <w:color w:val="auto"/>
          <w:szCs w:val="28"/>
        </w:rPr>
        <w:t>Khoa học và Công nghệ,</w:t>
      </w:r>
      <w:r w:rsidR="007932E9" w:rsidRPr="007277DF">
        <w:rPr>
          <w:b w:val="0"/>
          <w:color w:val="auto"/>
          <w:szCs w:val="28"/>
        </w:rPr>
        <w:t xml:space="preserve"> Kế hoạch và Đầu tư, Tài chính, Công </w:t>
      </w:r>
      <w:r w:rsidR="007277DF">
        <w:rPr>
          <w:b w:val="0"/>
          <w:color w:val="auto"/>
          <w:szCs w:val="28"/>
        </w:rPr>
        <w:t>T</w:t>
      </w:r>
      <w:r w:rsidR="007932E9" w:rsidRPr="007277DF">
        <w:rPr>
          <w:b w:val="0"/>
          <w:color w:val="auto"/>
          <w:szCs w:val="28"/>
        </w:rPr>
        <w:t xml:space="preserve">hương, Nông nghiệp và </w:t>
      </w:r>
      <w:r w:rsidR="007277DF">
        <w:rPr>
          <w:b w:val="0"/>
          <w:color w:val="auto"/>
          <w:szCs w:val="28"/>
        </w:rPr>
        <w:t>P</w:t>
      </w:r>
      <w:r w:rsidR="007932E9" w:rsidRPr="007277DF">
        <w:rPr>
          <w:b w:val="0"/>
          <w:color w:val="auto"/>
          <w:szCs w:val="28"/>
        </w:rPr>
        <w:t xml:space="preserve">hát triển </w:t>
      </w:r>
      <w:r w:rsidR="007277DF">
        <w:rPr>
          <w:b w:val="0"/>
          <w:color w:val="auto"/>
          <w:szCs w:val="28"/>
        </w:rPr>
        <w:t>n</w:t>
      </w:r>
      <w:r w:rsidR="007932E9" w:rsidRPr="007277DF">
        <w:rPr>
          <w:b w:val="0"/>
          <w:color w:val="auto"/>
          <w:szCs w:val="28"/>
        </w:rPr>
        <w:t>ông thôn</w:t>
      </w:r>
      <w:r w:rsidR="00F055D9" w:rsidRPr="007277DF">
        <w:rPr>
          <w:b w:val="0"/>
          <w:color w:val="auto"/>
          <w:szCs w:val="28"/>
        </w:rPr>
        <w:t>;</w:t>
      </w:r>
      <w:r w:rsidRPr="007277DF">
        <w:rPr>
          <w:b w:val="0"/>
          <w:color w:val="auto"/>
          <w:szCs w:val="28"/>
        </w:rPr>
        <w:t xml:space="preserve"> Thủ trưởng các cơ quan chuyên môn thuộc UNBD thành phố và Thủ trưởng các cơ quan đơn vị có liên quan chịu trách nhiệm thi hành Quyết định này.</w:t>
      </w:r>
      <w:r w:rsidR="00F055D9" w:rsidRPr="007277DF">
        <w:rPr>
          <w:b w:val="0"/>
          <w:color w:val="auto"/>
          <w:szCs w:val="28"/>
        </w:rPr>
        <w:t>/.</w:t>
      </w:r>
    </w:p>
    <w:p w:rsidR="007277DF" w:rsidRPr="007277DF" w:rsidRDefault="007277DF" w:rsidP="007277DF">
      <w:pPr>
        <w:pStyle w:val="BodyText2"/>
        <w:ind w:firstLine="697"/>
        <w:jc w:val="both"/>
        <w:rPr>
          <w:b w:val="0"/>
          <w:color w:val="auto"/>
          <w:szCs w:val="28"/>
        </w:rPr>
      </w:pPr>
    </w:p>
    <w:tbl>
      <w:tblPr>
        <w:tblW w:w="9784" w:type="dxa"/>
        <w:tblInd w:w="18" w:type="dxa"/>
        <w:tblLook w:val="01E0" w:firstRow="1" w:lastRow="1" w:firstColumn="1" w:lastColumn="1" w:noHBand="0" w:noVBand="0"/>
      </w:tblPr>
      <w:tblGrid>
        <w:gridCol w:w="5091"/>
        <w:gridCol w:w="4693"/>
      </w:tblGrid>
      <w:tr w:rsidR="00DD675E" w:rsidRPr="007277DF">
        <w:trPr>
          <w:trHeight w:val="1271"/>
        </w:trPr>
        <w:tc>
          <w:tcPr>
            <w:tcW w:w="5091" w:type="dxa"/>
          </w:tcPr>
          <w:p w:rsidR="00DD675E" w:rsidRPr="007277DF" w:rsidRDefault="00DD675E" w:rsidP="000E2962">
            <w:pPr>
              <w:rPr>
                <w:color w:val="auto"/>
                <w:sz w:val="24"/>
                <w:szCs w:val="24"/>
                <w:lang w:val="nl-NL"/>
              </w:rPr>
            </w:pPr>
          </w:p>
        </w:tc>
        <w:tc>
          <w:tcPr>
            <w:tcW w:w="4693" w:type="dxa"/>
          </w:tcPr>
          <w:p w:rsidR="00DD675E" w:rsidRPr="007277DF" w:rsidRDefault="00DD675E" w:rsidP="00045881">
            <w:pPr>
              <w:jc w:val="center"/>
              <w:rPr>
                <w:b/>
                <w:color w:val="auto"/>
                <w:lang w:val="nl-NL"/>
              </w:rPr>
            </w:pPr>
            <w:r w:rsidRPr="007277DF">
              <w:rPr>
                <w:b/>
                <w:color w:val="auto"/>
                <w:lang w:val="nl-NL"/>
              </w:rPr>
              <w:t>TM. UỶ BAN NHÂN DÂN</w:t>
            </w:r>
          </w:p>
          <w:p w:rsidR="00000118" w:rsidRPr="007277DF" w:rsidRDefault="00DD675E" w:rsidP="00045881">
            <w:pPr>
              <w:jc w:val="center"/>
              <w:rPr>
                <w:b/>
                <w:color w:val="auto"/>
              </w:rPr>
            </w:pPr>
            <w:r w:rsidRPr="007277DF">
              <w:rPr>
                <w:b/>
                <w:color w:val="auto"/>
                <w:lang w:val="nl-NL"/>
              </w:rPr>
              <w:t>CHỦ TỊCH</w:t>
            </w:r>
          </w:p>
          <w:p w:rsidR="003D7156" w:rsidRPr="007277DF" w:rsidRDefault="003D7156" w:rsidP="00045881">
            <w:pPr>
              <w:jc w:val="center"/>
              <w:rPr>
                <w:b/>
                <w:color w:val="auto"/>
              </w:rPr>
            </w:pPr>
          </w:p>
          <w:p w:rsidR="00DD675E" w:rsidRPr="007277DF" w:rsidRDefault="00000118" w:rsidP="008448B0">
            <w:pPr>
              <w:jc w:val="center"/>
              <w:rPr>
                <w:b/>
                <w:color w:val="auto"/>
              </w:rPr>
            </w:pPr>
            <w:r w:rsidRPr="007277DF">
              <w:rPr>
                <w:b/>
                <w:color w:val="auto"/>
              </w:rPr>
              <w:t>Văn Hữu Chiến</w:t>
            </w:r>
          </w:p>
        </w:tc>
      </w:tr>
    </w:tbl>
    <w:p w:rsidR="001803D0" w:rsidRPr="007277DF" w:rsidRDefault="001803D0" w:rsidP="008C1EF6">
      <w:pPr>
        <w:jc w:val="both"/>
        <w:rPr>
          <w:color w:val="auto"/>
          <w:lang w:val="it-IT"/>
        </w:rPr>
      </w:pPr>
    </w:p>
    <w:sectPr w:rsidR="001803D0" w:rsidRPr="007277DF" w:rsidSect="00393F41">
      <w:footerReference w:type="even" r:id="rId7"/>
      <w:footerReference w:type="default" r:id="rId8"/>
      <w:pgSz w:w="11909" w:h="16834"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BB0" w:rsidRDefault="00EF4BB0">
      <w:r>
        <w:separator/>
      </w:r>
    </w:p>
  </w:endnote>
  <w:endnote w:type="continuationSeparator" w:id="0">
    <w:p w:rsidR="00EF4BB0" w:rsidRDefault="00EF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6B" w:rsidRDefault="0032486B" w:rsidP="00BB14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486B" w:rsidRDefault="0032486B" w:rsidP="003248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6B" w:rsidRDefault="0032486B" w:rsidP="003248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BB0" w:rsidRDefault="00EF4BB0">
      <w:r>
        <w:separator/>
      </w:r>
    </w:p>
  </w:footnote>
  <w:footnote w:type="continuationSeparator" w:id="0">
    <w:p w:rsidR="00EF4BB0" w:rsidRDefault="00EF4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52BE1"/>
    <w:multiLevelType w:val="hybridMultilevel"/>
    <w:tmpl w:val="422E34E6"/>
    <w:lvl w:ilvl="0" w:tplc="B6A69CF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BF"/>
    <w:rsid w:val="00000118"/>
    <w:rsid w:val="00001C83"/>
    <w:rsid w:val="00005472"/>
    <w:rsid w:val="00030A61"/>
    <w:rsid w:val="00041E39"/>
    <w:rsid w:val="00045881"/>
    <w:rsid w:val="000564EA"/>
    <w:rsid w:val="000630EF"/>
    <w:rsid w:val="0007493A"/>
    <w:rsid w:val="00082CFF"/>
    <w:rsid w:val="000A374D"/>
    <w:rsid w:val="000E06C4"/>
    <w:rsid w:val="000E238D"/>
    <w:rsid w:val="000E2962"/>
    <w:rsid w:val="000E6A8A"/>
    <w:rsid w:val="000F3E39"/>
    <w:rsid w:val="00111DDD"/>
    <w:rsid w:val="0012110E"/>
    <w:rsid w:val="001529CC"/>
    <w:rsid w:val="00153386"/>
    <w:rsid w:val="00172647"/>
    <w:rsid w:val="001803D0"/>
    <w:rsid w:val="0019176D"/>
    <w:rsid w:val="00194E80"/>
    <w:rsid w:val="001A51D4"/>
    <w:rsid w:val="001B2C34"/>
    <w:rsid w:val="001C6A86"/>
    <w:rsid w:val="001E6A12"/>
    <w:rsid w:val="00203441"/>
    <w:rsid w:val="00204F55"/>
    <w:rsid w:val="0021601C"/>
    <w:rsid w:val="00220188"/>
    <w:rsid w:val="002218BA"/>
    <w:rsid w:val="00222DCD"/>
    <w:rsid w:val="00227CE8"/>
    <w:rsid w:val="0024437B"/>
    <w:rsid w:val="00261568"/>
    <w:rsid w:val="002729F5"/>
    <w:rsid w:val="002771EA"/>
    <w:rsid w:val="002B6CA0"/>
    <w:rsid w:val="002E300C"/>
    <w:rsid w:val="002E58ED"/>
    <w:rsid w:val="0031153F"/>
    <w:rsid w:val="0032486B"/>
    <w:rsid w:val="0033092A"/>
    <w:rsid w:val="00370853"/>
    <w:rsid w:val="00393F41"/>
    <w:rsid w:val="003B08A3"/>
    <w:rsid w:val="003B7908"/>
    <w:rsid w:val="003D3D72"/>
    <w:rsid w:val="003D7156"/>
    <w:rsid w:val="003F67C4"/>
    <w:rsid w:val="00403F4C"/>
    <w:rsid w:val="00411EF8"/>
    <w:rsid w:val="004E2A3D"/>
    <w:rsid w:val="004E7B60"/>
    <w:rsid w:val="004F444D"/>
    <w:rsid w:val="00513FE7"/>
    <w:rsid w:val="005236C2"/>
    <w:rsid w:val="00525BC3"/>
    <w:rsid w:val="00536745"/>
    <w:rsid w:val="0055685A"/>
    <w:rsid w:val="0056447D"/>
    <w:rsid w:val="005759B0"/>
    <w:rsid w:val="0059339E"/>
    <w:rsid w:val="005A2D9F"/>
    <w:rsid w:val="005B5DEC"/>
    <w:rsid w:val="005E3047"/>
    <w:rsid w:val="00613E40"/>
    <w:rsid w:val="00617449"/>
    <w:rsid w:val="0062666C"/>
    <w:rsid w:val="00631D0A"/>
    <w:rsid w:val="006559F9"/>
    <w:rsid w:val="00666F06"/>
    <w:rsid w:val="006B7A6B"/>
    <w:rsid w:val="007277DF"/>
    <w:rsid w:val="00746764"/>
    <w:rsid w:val="00753B7E"/>
    <w:rsid w:val="007617AA"/>
    <w:rsid w:val="00765B68"/>
    <w:rsid w:val="0078613B"/>
    <w:rsid w:val="00790C8F"/>
    <w:rsid w:val="007932E9"/>
    <w:rsid w:val="007B5B0F"/>
    <w:rsid w:val="007F48A8"/>
    <w:rsid w:val="00822F07"/>
    <w:rsid w:val="00824B18"/>
    <w:rsid w:val="008448B0"/>
    <w:rsid w:val="0086162D"/>
    <w:rsid w:val="00881D4D"/>
    <w:rsid w:val="00897C76"/>
    <w:rsid w:val="008C1EF6"/>
    <w:rsid w:val="009A2480"/>
    <w:rsid w:val="009A424C"/>
    <w:rsid w:val="009C75B1"/>
    <w:rsid w:val="009F5296"/>
    <w:rsid w:val="00A10EB0"/>
    <w:rsid w:val="00A42921"/>
    <w:rsid w:val="00A56368"/>
    <w:rsid w:val="00A74EB1"/>
    <w:rsid w:val="00A772B8"/>
    <w:rsid w:val="00A85CBF"/>
    <w:rsid w:val="00A87378"/>
    <w:rsid w:val="00A96998"/>
    <w:rsid w:val="00AA57B8"/>
    <w:rsid w:val="00AB041C"/>
    <w:rsid w:val="00AB5323"/>
    <w:rsid w:val="00AC19B6"/>
    <w:rsid w:val="00AD3A6C"/>
    <w:rsid w:val="00AE0E95"/>
    <w:rsid w:val="00AF78A4"/>
    <w:rsid w:val="00B00A79"/>
    <w:rsid w:val="00B13091"/>
    <w:rsid w:val="00B44E2D"/>
    <w:rsid w:val="00B5209E"/>
    <w:rsid w:val="00B71985"/>
    <w:rsid w:val="00BB1444"/>
    <w:rsid w:val="00BC53B3"/>
    <w:rsid w:val="00BE2EB2"/>
    <w:rsid w:val="00C27D4B"/>
    <w:rsid w:val="00C330DA"/>
    <w:rsid w:val="00C334F2"/>
    <w:rsid w:val="00C452C5"/>
    <w:rsid w:val="00C4607E"/>
    <w:rsid w:val="00C53F6C"/>
    <w:rsid w:val="00C544DA"/>
    <w:rsid w:val="00C548F4"/>
    <w:rsid w:val="00C62B44"/>
    <w:rsid w:val="00C63FD9"/>
    <w:rsid w:val="00C65AB5"/>
    <w:rsid w:val="00C73DF6"/>
    <w:rsid w:val="00C83094"/>
    <w:rsid w:val="00C93147"/>
    <w:rsid w:val="00CA206E"/>
    <w:rsid w:val="00CE0688"/>
    <w:rsid w:val="00CF5778"/>
    <w:rsid w:val="00D026C2"/>
    <w:rsid w:val="00D04AF3"/>
    <w:rsid w:val="00D35736"/>
    <w:rsid w:val="00D53E18"/>
    <w:rsid w:val="00D838B5"/>
    <w:rsid w:val="00D83C93"/>
    <w:rsid w:val="00DB6121"/>
    <w:rsid w:val="00DB7183"/>
    <w:rsid w:val="00DB746C"/>
    <w:rsid w:val="00DD675E"/>
    <w:rsid w:val="00E056FD"/>
    <w:rsid w:val="00E07177"/>
    <w:rsid w:val="00E27B11"/>
    <w:rsid w:val="00E32052"/>
    <w:rsid w:val="00E70DAB"/>
    <w:rsid w:val="00E7699F"/>
    <w:rsid w:val="00ED3C2F"/>
    <w:rsid w:val="00ED7580"/>
    <w:rsid w:val="00EE104F"/>
    <w:rsid w:val="00EE4D2F"/>
    <w:rsid w:val="00EF4172"/>
    <w:rsid w:val="00EF4BB0"/>
    <w:rsid w:val="00F055D9"/>
    <w:rsid w:val="00F11769"/>
    <w:rsid w:val="00F3098B"/>
    <w:rsid w:val="00F63D67"/>
    <w:rsid w:val="00F640AB"/>
    <w:rsid w:val="00F7673C"/>
    <w:rsid w:val="00F80778"/>
    <w:rsid w:val="00F821C7"/>
    <w:rsid w:val="00F926B8"/>
    <w:rsid w:val="00FE308C"/>
    <w:rsid w:val="00FE5222"/>
    <w:rsid w:val="00FF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82863B-CCC1-4CE5-BA06-FE650850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33CC"/>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85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85CBF"/>
    <w:pPr>
      <w:jc w:val="center"/>
    </w:pPr>
    <w:rPr>
      <w:b/>
      <w:color w:val="0000FF"/>
      <w:szCs w:val="24"/>
    </w:rPr>
  </w:style>
  <w:style w:type="paragraph" w:customStyle="1" w:styleId="Char">
    <w:name w:val=" Char"/>
    <w:basedOn w:val="Normal"/>
    <w:semiHidden/>
    <w:rsid w:val="001B2C34"/>
    <w:pPr>
      <w:spacing w:after="160" w:line="240" w:lineRule="exact"/>
    </w:pPr>
    <w:rPr>
      <w:rFonts w:ascii="Arial" w:hAnsi="Arial"/>
      <w:color w:val="auto"/>
      <w:sz w:val="22"/>
      <w:szCs w:val="22"/>
    </w:rPr>
  </w:style>
  <w:style w:type="paragraph" w:styleId="Footer">
    <w:name w:val="footer"/>
    <w:basedOn w:val="Normal"/>
    <w:rsid w:val="0032486B"/>
    <w:pPr>
      <w:tabs>
        <w:tab w:val="center" w:pos="4320"/>
        <w:tab w:val="right" w:pos="8640"/>
      </w:tabs>
    </w:pPr>
  </w:style>
  <w:style w:type="character" w:styleId="PageNumber">
    <w:name w:val="page number"/>
    <w:basedOn w:val="DefaultParagraphFont"/>
    <w:rsid w:val="0032486B"/>
  </w:style>
  <w:style w:type="paragraph" w:styleId="BalloonText">
    <w:name w:val="Balloon Text"/>
    <w:basedOn w:val="Normal"/>
    <w:link w:val="BalloonTextChar"/>
    <w:rsid w:val="00D53E18"/>
    <w:rPr>
      <w:rFonts w:ascii="Segoe UI" w:hAnsi="Segoe UI" w:cs="Segoe UI"/>
      <w:sz w:val="18"/>
      <w:szCs w:val="18"/>
    </w:rPr>
  </w:style>
  <w:style w:type="character" w:customStyle="1" w:styleId="BalloonTextChar">
    <w:name w:val="Balloon Text Char"/>
    <w:link w:val="BalloonText"/>
    <w:rsid w:val="00D53E18"/>
    <w:rPr>
      <w:rFonts w:ascii="Segoe UI" w:hAnsi="Segoe UI" w:cs="Segoe UI"/>
      <w:color w:val="0033CC"/>
      <w:sz w:val="18"/>
      <w:szCs w:val="18"/>
    </w:rPr>
  </w:style>
  <w:style w:type="paragraph" w:styleId="Header">
    <w:name w:val="header"/>
    <w:basedOn w:val="Normal"/>
    <w:rsid w:val="00393F4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UỶ BAN NHÂN DẬN</vt:lpstr>
    </vt:vector>
  </TitlesOfParts>
  <Company>Microsoft Corporation</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DẬN</dc:title>
  <dc:subject/>
  <dc:creator>Pham Tien Phong</dc:creator>
  <cp:keywords/>
  <cp:lastModifiedBy>Truong Cong Nguyen Thanh</cp:lastModifiedBy>
  <cp:revision>3</cp:revision>
  <cp:lastPrinted>2014-05-05T08:53:00Z</cp:lastPrinted>
  <dcterms:created xsi:type="dcterms:W3CDTF">2021-04-19T08:12:00Z</dcterms:created>
  <dcterms:modified xsi:type="dcterms:W3CDTF">2021-04-19T08:12:00Z</dcterms:modified>
</cp:coreProperties>
</file>