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08" w:type="dxa"/>
        <w:tblLook w:val="0000" w:firstRow="0" w:lastRow="0" w:firstColumn="0" w:lastColumn="0" w:noHBand="0" w:noVBand="0"/>
      </w:tblPr>
      <w:tblGrid>
        <w:gridCol w:w="3780"/>
        <w:gridCol w:w="5760"/>
      </w:tblGrid>
      <w:tr w:rsidR="00840C8D">
        <w:tblPrEx>
          <w:tblCellMar>
            <w:top w:w="0" w:type="dxa"/>
            <w:bottom w:w="0" w:type="dxa"/>
          </w:tblCellMar>
        </w:tblPrEx>
        <w:tc>
          <w:tcPr>
            <w:tcW w:w="3780" w:type="dxa"/>
          </w:tcPr>
          <w:p w:rsidR="00840C8D" w:rsidRPr="007825F6" w:rsidRDefault="00840C8D" w:rsidP="00846B4F">
            <w:pPr>
              <w:jc w:val="center"/>
              <w:rPr>
                <w:b/>
                <w:bCs/>
                <w:sz w:val="26"/>
                <w:szCs w:val="26"/>
              </w:rPr>
            </w:pPr>
            <w:r w:rsidRPr="007825F6">
              <w:rPr>
                <w:b/>
                <w:bCs/>
                <w:sz w:val="26"/>
                <w:szCs w:val="26"/>
              </w:rPr>
              <w:t>ỦY BAN NHÂN DÂN</w:t>
            </w:r>
          </w:p>
          <w:p w:rsidR="00840C8D" w:rsidRPr="007825F6" w:rsidRDefault="00840C8D" w:rsidP="00846B4F">
            <w:pPr>
              <w:jc w:val="center"/>
              <w:rPr>
                <w:b/>
                <w:bCs/>
                <w:sz w:val="26"/>
                <w:szCs w:val="26"/>
              </w:rPr>
            </w:pPr>
            <w:r w:rsidRPr="007825F6">
              <w:rPr>
                <w:b/>
                <w:bCs/>
                <w:sz w:val="26"/>
                <w:szCs w:val="26"/>
              </w:rPr>
              <w:t>THÀNH PHỐ ĐÀ NẴNG</w:t>
            </w:r>
          </w:p>
          <w:p w:rsidR="00840C8D" w:rsidRPr="007825F6" w:rsidRDefault="00FC4BD1" w:rsidP="00846B4F">
            <w:pPr>
              <w:pStyle w:val="BodyText"/>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721995</wp:posOffset>
                      </wp:positionH>
                      <wp:positionV relativeFrom="paragraph">
                        <wp:posOffset>29845</wp:posOffset>
                      </wp:positionV>
                      <wp:extent cx="838200" cy="0"/>
                      <wp:effectExtent l="5715" t="12065" r="13335" b="698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94FD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35pt" to="122.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NSEQ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"/>
                  </w:pict>
                </mc:Fallback>
              </mc:AlternateContent>
            </w:r>
          </w:p>
        </w:tc>
        <w:tc>
          <w:tcPr>
            <w:tcW w:w="5760" w:type="dxa"/>
          </w:tcPr>
          <w:p w:rsidR="00840C8D" w:rsidRPr="007825F6" w:rsidRDefault="00840C8D" w:rsidP="00846B4F">
            <w:pPr>
              <w:jc w:val="center"/>
              <w:rPr>
                <w:b/>
                <w:sz w:val="26"/>
                <w:szCs w:val="26"/>
              </w:rPr>
            </w:pPr>
            <w:r w:rsidRPr="007825F6">
              <w:rPr>
                <w:b/>
                <w:sz w:val="26"/>
                <w:szCs w:val="26"/>
              </w:rPr>
              <w:t xml:space="preserve">CỘNG HÒA XÃ HỘI CHỦ NGHĨA VIỆT </w:t>
            </w:r>
            <w:smartTag w:uri="urn:schemas-microsoft-com:office:smarttags" w:element="place">
              <w:smartTag w:uri="urn:schemas-microsoft-com:office:smarttags" w:element="country-region">
                <w:r w:rsidRPr="007825F6">
                  <w:rPr>
                    <w:b/>
                    <w:sz w:val="26"/>
                    <w:szCs w:val="26"/>
                  </w:rPr>
                  <w:t>NAM</w:t>
                </w:r>
              </w:smartTag>
            </w:smartTag>
          </w:p>
          <w:p w:rsidR="00840C8D" w:rsidRPr="005014BD" w:rsidRDefault="00840C8D" w:rsidP="00846B4F">
            <w:pPr>
              <w:jc w:val="center"/>
              <w:rPr>
                <w:b/>
                <w:sz w:val="28"/>
                <w:szCs w:val="28"/>
              </w:rPr>
            </w:pPr>
            <w:r w:rsidRPr="007825F6">
              <w:rPr>
                <w:b/>
                <w:sz w:val="26"/>
                <w:szCs w:val="26"/>
              </w:rPr>
              <w:t xml:space="preserve">  </w:t>
            </w:r>
            <w:r w:rsidRPr="005014BD">
              <w:rPr>
                <w:b/>
                <w:sz w:val="28"/>
                <w:szCs w:val="28"/>
              </w:rPr>
              <w:t>Độc lập - Tự do - Hạnh phúc</w:t>
            </w:r>
          </w:p>
          <w:p w:rsidR="00840C8D" w:rsidRPr="007825F6" w:rsidRDefault="00FC4BD1" w:rsidP="00846B4F">
            <w:pPr>
              <w:pStyle w:val="BodyText"/>
              <w:jc w:val="center"/>
              <w:rPr>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798195</wp:posOffset>
                      </wp:positionH>
                      <wp:positionV relativeFrom="paragraph">
                        <wp:posOffset>25400</wp:posOffset>
                      </wp:positionV>
                      <wp:extent cx="1981200" cy="0"/>
                      <wp:effectExtent l="5715" t="12700" r="13335"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6089"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2pt" to="218.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4W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"/>
                  </w:pict>
                </mc:Fallback>
              </mc:AlternateContent>
            </w:r>
          </w:p>
        </w:tc>
      </w:tr>
      <w:tr w:rsidR="00840C8D">
        <w:tblPrEx>
          <w:tblCellMar>
            <w:top w:w="0" w:type="dxa"/>
            <w:bottom w:w="0" w:type="dxa"/>
          </w:tblCellMar>
        </w:tblPrEx>
        <w:tc>
          <w:tcPr>
            <w:tcW w:w="3780" w:type="dxa"/>
          </w:tcPr>
          <w:p w:rsidR="00840C8D" w:rsidRPr="005014BD" w:rsidRDefault="005014BD" w:rsidP="00840C8D">
            <w:pPr>
              <w:spacing w:before="60"/>
              <w:jc w:val="center"/>
              <w:rPr>
                <w:sz w:val="28"/>
                <w:szCs w:val="28"/>
              </w:rPr>
            </w:pPr>
            <w:r w:rsidRPr="005014BD">
              <w:rPr>
                <w:sz w:val="28"/>
                <w:szCs w:val="28"/>
              </w:rPr>
              <w:t>Số:</w:t>
            </w:r>
            <w:r w:rsidR="00840C8D" w:rsidRPr="005014BD">
              <w:rPr>
                <w:sz w:val="28"/>
                <w:szCs w:val="28"/>
              </w:rPr>
              <w:t xml:space="preserve"> </w:t>
            </w:r>
            <w:r w:rsidR="008B0364" w:rsidRPr="005014BD">
              <w:rPr>
                <w:sz w:val="28"/>
                <w:szCs w:val="28"/>
              </w:rPr>
              <w:t xml:space="preserve">26 </w:t>
            </w:r>
            <w:r w:rsidR="00840C8D" w:rsidRPr="005014BD">
              <w:rPr>
                <w:sz w:val="28"/>
                <w:szCs w:val="28"/>
              </w:rPr>
              <w:t>/2013/QĐ-UBND</w:t>
            </w:r>
          </w:p>
        </w:tc>
        <w:tc>
          <w:tcPr>
            <w:tcW w:w="5760" w:type="dxa"/>
            <w:vAlign w:val="bottom"/>
          </w:tcPr>
          <w:p w:rsidR="00840C8D" w:rsidRDefault="005014BD" w:rsidP="00973407">
            <w:pPr>
              <w:jc w:val="center"/>
              <w:rPr>
                <w:i/>
                <w:sz w:val="28"/>
                <w:szCs w:val="28"/>
              </w:rPr>
            </w:pPr>
            <w:r>
              <w:rPr>
                <w:i/>
                <w:sz w:val="28"/>
                <w:szCs w:val="28"/>
              </w:rPr>
              <w:t xml:space="preserve">Đà Nẵng, ngày  </w:t>
            </w:r>
            <w:r w:rsidR="008B0364">
              <w:rPr>
                <w:i/>
                <w:sz w:val="28"/>
                <w:szCs w:val="28"/>
              </w:rPr>
              <w:t>21</w:t>
            </w:r>
            <w:r>
              <w:rPr>
                <w:i/>
                <w:sz w:val="28"/>
                <w:szCs w:val="28"/>
              </w:rPr>
              <w:t xml:space="preserve"> </w:t>
            </w:r>
            <w:r w:rsidR="00840C8D">
              <w:rPr>
                <w:i/>
                <w:sz w:val="28"/>
                <w:szCs w:val="28"/>
              </w:rPr>
              <w:t xml:space="preserve"> tháng  </w:t>
            </w:r>
            <w:r w:rsidR="00973407">
              <w:rPr>
                <w:i/>
                <w:sz w:val="28"/>
                <w:szCs w:val="28"/>
              </w:rPr>
              <w:t>8</w:t>
            </w:r>
            <w:r w:rsidR="00840C8D">
              <w:rPr>
                <w:i/>
                <w:sz w:val="28"/>
                <w:szCs w:val="28"/>
              </w:rPr>
              <w:t xml:space="preserve">  năm 2013</w:t>
            </w:r>
          </w:p>
        </w:tc>
      </w:tr>
      <w:tr w:rsidR="00840C8D">
        <w:tblPrEx>
          <w:tblCellMar>
            <w:top w:w="0" w:type="dxa"/>
            <w:bottom w:w="0" w:type="dxa"/>
          </w:tblCellMar>
        </w:tblPrEx>
        <w:trPr>
          <w:trHeight w:val="358"/>
        </w:trPr>
        <w:tc>
          <w:tcPr>
            <w:tcW w:w="3780" w:type="dxa"/>
          </w:tcPr>
          <w:p w:rsidR="00840C8D" w:rsidRDefault="00840C8D" w:rsidP="00846B4F">
            <w:pPr>
              <w:spacing w:before="120"/>
              <w:jc w:val="center"/>
              <w:rPr>
                <w:sz w:val="26"/>
                <w:szCs w:val="26"/>
              </w:rPr>
            </w:pPr>
          </w:p>
        </w:tc>
        <w:tc>
          <w:tcPr>
            <w:tcW w:w="5760" w:type="dxa"/>
            <w:vAlign w:val="bottom"/>
          </w:tcPr>
          <w:p w:rsidR="00840C8D" w:rsidRPr="008E4F7A" w:rsidRDefault="00840C8D" w:rsidP="00846B4F">
            <w:pPr>
              <w:jc w:val="center"/>
              <w:rPr>
                <w:i/>
                <w:sz w:val="46"/>
                <w:szCs w:val="28"/>
              </w:rPr>
            </w:pPr>
          </w:p>
          <w:p w:rsidR="00840C8D" w:rsidRPr="008E4F7A" w:rsidRDefault="00840C8D" w:rsidP="00846B4F">
            <w:pPr>
              <w:jc w:val="center"/>
              <w:rPr>
                <w:i/>
                <w:sz w:val="2"/>
                <w:szCs w:val="28"/>
              </w:rPr>
            </w:pPr>
          </w:p>
        </w:tc>
      </w:tr>
    </w:tbl>
    <w:p w:rsidR="00840C8D" w:rsidRPr="00BA1E14" w:rsidRDefault="00840C8D" w:rsidP="00840C8D">
      <w:pPr>
        <w:jc w:val="center"/>
        <w:rPr>
          <w:b/>
          <w:color w:val="000000"/>
          <w:sz w:val="28"/>
          <w:szCs w:val="28"/>
        </w:rPr>
      </w:pPr>
      <w:r>
        <w:rPr>
          <w:b/>
          <w:color w:val="000000"/>
          <w:sz w:val="28"/>
          <w:szCs w:val="28"/>
        </w:rPr>
        <w:t>QUYẾT ĐỊNH</w:t>
      </w:r>
    </w:p>
    <w:p w:rsidR="00840C8D" w:rsidRDefault="00840C8D" w:rsidP="00840C8D">
      <w:pPr>
        <w:jc w:val="center"/>
        <w:rPr>
          <w:b/>
          <w:color w:val="000000"/>
          <w:sz w:val="28"/>
          <w:szCs w:val="28"/>
        </w:rPr>
      </w:pPr>
      <w:r>
        <w:rPr>
          <w:b/>
          <w:color w:val="000000"/>
          <w:sz w:val="28"/>
          <w:szCs w:val="28"/>
        </w:rPr>
        <w:t>Quy</w:t>
      </w:r>
      <w:r w:rsidRPr="00BA1E14">
        <w:rPr>
          <w:b/>
          <w:color w:val="000000"/>
          <w:sz w:val="28"/>
          <w:szCs w:val="28"/>
        </w:rPr>
        <w:t xml:space="preserve"> định</w:t>
      </w:r>
      <w:r>
        <w:rPr>
          <w:b/>
          <w:color w:val="000000"/>
          <w:sz w:val="28"/>
          <w:szCs w:val="28"/>
        </w:rPr>
        <w:t xml:space="preserve"> mức chi bảo đảm công tác cải cách hành chính nhà nước </w:t>
      </w:r>
    </w:p>
    <w:p w:rsidR="00840C8D" w:rsidRPr="00BA1E14" w:rsidRDefault="00840C8D" w:rsidP="00840C8D">
      <w:pPr>
        <w:jc w:val="center"/>
        <w:rPr>
          <w:b/>
          <w:color w:val="000000"/>
          <w:sz w:val="28"/>
          <w:szCs w:val="28"/>
        </w:rPr>
      </w:pPr>
      <w:r>
        <w:rPr>
          <w:b/>
          <w:color w:val="000000"/>
          <w:sz w:val="28"/>
          <w:szCs w:val="28"/>
        </w:rPr>
        <w:t>trên địa bàn thành phố Đà Nẵng</w:t>
      </w:r>
    </w:p>
    <w:p w:rsidR="00840C8D" w:rsidRDefault="00FC4BD1" w:rsidP="00840C8D">
      <w:pPr>
        <w:jc w:val="center"/>
        <w:rPr>
          <w:b/>
          <w:color w:val="000000"/>
          <w:sz w:val="28"/>
          <w:szCs w:val="28"/>
        </w:rPr>
      </w:pPr>
      <w:r w:rsidRPr="00BA1E14">
        <w:rPr>
          <w:b/>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2211070</wp:posOffset>
                </wp:positionH>
                <wp:positionV relativeFrom="paragraph">
                  <wp:posOffset>70485</wp:posOffset>
                </wp:positionV>
                <wp:extent cx="1460500" cy="0"/>
                <wp:effectExtent l="6985" t="6350" r="889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2F7A1" id="_x0000_t32" coordsize="21600,21600" o:spt="32" o:oned="t" path="m,l21600,21600e" filled="f">
                <v:path arrowok="t" fillok="f" o:connecttype="none"/>
                <o:lock v:ext="edit" shapetype="t"/>
              </v:shapetype>
              <v:shape id="AutoShape 4" o:spid="_x0000_s1026" type="#_x0000_t32" style="position:absolute;margin-left:174.1pt;margin-top:5.55pt;width:1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1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"/>
            </w:pict>
          </mc:Fallback>
        </mc:AlternateContent>
      </w:r>
    </w:p>
    <w:p w:rsidR="00840C8D" w:rsidRPr="00A160E9" w:rsidRDefault="00840C8D" w:rsidP="00840C8D">
      <w:pPr>
        <w:jc w:val="center"/>
        <w:rPr>
          <w:b/>
          <w:color w:val="000000"/>
          <w:sz w:val="28"/>
          <w:szCs w:val="28"/>
        </w:rPr>
      </w:pPr>
      <w:r w:rsidRPr="00A160E9">
        <w:rPr>
          <w:b/>
          <w:bCs/>
          <w:iCs/>
          <w:color w:val="000000"/>
          <w:sz w:val="28"/>
          <w:szCs w:val="28"/>
        </w:rPr>
        <w:t>ỦY BAN NHÂN DÂN THÀNH PHỐ ĐÀ NẴNG</w:t>
      </w:r>
    </w:p>
    <w:p w:rsidR="00840C8D" w:rsidRDefault="00840C8D" w:rsidP="00840C8D">
      <w:pPr>
        <w:spacing w:before="120" w:line="360" w:lineRule="exact"/>
        <w:ind w:firstLine="720"/>
        <w:jc w:val="both"/>
        <w:rPr>
          <w:iCs/>
          <w:color w:val="000000"/>
          <w:sz w:val="28"/>
          <w:szCs w:val="28"/>
        </w:rPr>
      </w:pPr>
      <w:r>
        <w:rPr>
          <w:iCs/>
          <w:color w:val="000000"/>
          <w:sz w:val="28"/>
          <w:szCs w:val="28"/>
        </w:rPr>
        <w:t>Căn cứ Luật Tổ chức Hội đồng nhân dân và Ủy ban nhân dân ngày 26 tháng 11 năm 2003;</w:t>
      </w:r>
    </w:p>
    <w:p w:rsidR="00840C8D" w:rsidRDefault="00840C8D" w:rsidP="00840C8D">
      <w:pPr>
        <w:spacing w:before="120" w:line="360" w:lineRule="exact"/>
        <w:ind w:firstLine="720"/>
        <w:jc w:val="both"/>
        <w:rPr>
          <w:iCs/>
          <w:color w:val="000000"/>
          <w:sz w:val="28"/>
          <w:szCs w:val="28"/>
        </w:rPr>
      </w:pPr>
      <w:r w:rsidRPr="00BA1E14">
        <w:rPr>
          <w:iCs/>
          <w:color w:val="000000"/>
          <w:sz w:val="28"/>
          <w:szCs w:val="28"/>
        </w:rPr>
        <w:t>Căn cứ Luật Ngân sách Nhà nước ngày 16 tháng 12 năm 2002;</w:t>
      </w:r>
    </w:p>
    <w:p w:rsidR="00840C8D" w:rsidRDefault="00840C8D" w:rsidP="00840C8D">
      <w:pPr>
        <w:spacing w:before="120" w:line="360" w:lineRule="exact"/>
        <w:ind w:firstLine="720"/>
        <w:jc w:val="both"/>
        <w:rPr>
          <w:iCs/>
          <w:color w:val="000000"/>
          <w:sz w:val="28"/>
          <w:szCs w:val="28"/>
        </w:rPr>
      </w:pPr>
      <w:r>
        <w:rPr>
          <w:iCs/>
          <w:color w:val="000000"/>
          <w:sz w:val="28"/>
          <w:szCs w:val="28"/>
        </w:rPr>
        <w:t>Căn cứ Luật Ban hành văn bản quy phạm pháp luật của Hội đồng nhân dân và Ủy ban nhân dân ngày 03 tháng 12 năm 2004;</w:t>
      </w:r>
    </w:p>
    <w:p w:rsidR="00840C8D" w:rsidRDefault="00840C8D" w:rsidP="00840C8D">
      <w:pPr>
        <w:spacing w:before="120"/>
        <w:ind w:firstLine="720"/>
        <w:jc w:val="both"/>
        <w:rPr>
          <w:iCs/>
          <w:color w:val="000000"/>
          <w:sz w:val="28"/>
          <w:szCs w:val="28"/>
        </w:rPr>
      </w:pPr>
      <w:r w:rsidRPr="00BA1E14">
        <w:rPr>
          <w:iCs/>
          <w:color w:val="000000"/>
          <w:sz w:val="28"/>
          <w:szCs w:val="28"/>
        </w:rPr>
        <w:t xml:space="preserve">Căn cứ Thông tư </w:t>
      </w:r>
      <w:r>
        <w:rPr>
          <w:iCs/>
          <w:color w:val="000000"/>
          <w:sz w:val="28"/>
          <w:szCs w:val="28"/>
        </w:rPr>
        <w:t xml:space="preserve">số 172/2012/TT-BTC ngày 22 tháng 10 năm 2012 của Bộ Tài chính quy định việc lập dự toán, quản lý, sử dụng và quyết toán kinh phí bảo đảm công tác cải cách hành chính nhà nước; </w:t>
      </w:r>
    </w:p>
    <w:p w:rsidR="00840C8D" w:rsidRDefault="00840C8D" w:rsidP="00840C8D">
      <w:pPr>
        <w:spacing w:before="120"/>
        <w:ind w:firstLine="720"/>
        <w:jc w:val="both"/>
        <w:rPr>
          <w:sz w:val="28"/>
          <w:szCs w:val="28"/>
        </w:rPr>
      </w:pPr>
      <w:r>
        <w:rPr>
          <w:sz w:val="28"/>
          <w:szCs w:val="28"/>
        </w:rPr>
        <w:t>Căn cứ Nghị quyết số 43/2013/NQ-HĐND ngày 11 tháng 7 năm 2013 của Hội đồng nhân dân thành phố Đà Nẵng khóa VIII, nhiệm kỳ 2011-2016, kỳ họp thứ 7 về nhiệm vụ 6 tháng cuối năm 2013;</w:t>
      </w:r>
    </w:p>
    <w:p w:rsidR="008E4F7A" w:rsidRPr="0015103F" w:rsidRDefault="00840C8D" w:rsidP="008E4F7A">
      <w:pPr>
        <w:spacing w:before="160"/>
        <w:ind w:firstLine="720"/>
        <w:jc w:val="both"/>
        <w:rPr>
          <w:iCs/>
          <w:color w:val="000000"/>
          <w:sz w:val="28"/>
          <w:szCs w:val="28"/>
        </w:rPr>
      </w:pPr>
      <w:r>
        <w:rPr>
          <w:sz w:val="28"/>
          <w:szCs w:val="28"/>
        </w:rPr>
        <w:t>Theo đề nghị của Giám đốc Sở Tài chính thành phố Đà Nẵng</w:t>
      </w:r>
      <w:r w:rsidR="008E4F7A">
        <w:rPr>
          <w:sz w:val="28"/>
          <w:szCs w:val="28"/>
        </w:rPr>
        <w:t xml:space="preserve"> tại Tờ trình số 855/TTr-STC ngày 15 tháng 8 năm 2013,</w:t>
      </w:r>
    </w:p>
    <w:p w:rsidR="00840C8D" w:rsidRPr="00BA1E14" w:rsidRDefault="00840C8D" w:rsidP="00840C8D">
      <w:pPr>
        <w:spacing w:before="120" w:line="360" w:lineRule="exact"/>
        <w:jc w:val="center"/>
        <w:rPr>
          <w:b/>
          <w:color w:val="000000"/>
          <w:sz w:val="28"/>
          <w:szCs w:val="28"/>
        </w:rPr>
      </w:pPr>
      <w:r>
        <w:rPr>
          <w:b/>
          <w:color w:val="000000"/>
          <w:sz w:val="28"/>
          <w:szCs w:val="28"/>
        </w:rPr>
        <w:t>QUYẾT ĐỊNH:</w:t>
      </w:r>
    </w:p>
    <w:p w:rsidR="00840C8D" w:rsidRPr="00E20FD0" w:rsidRDefault="00840C8D" w:rsidP="00840C8D">
      <w:pPr>
        <w:spacing w:before="120" w:line="360" w:lineRule="exact"/>
        <w:ind w:firstLine="720"/>
        <w:jc w:val="both"/>
        <w:rPr>
          <w:sz w:val="28"/>
          <w:szCs w:val="28"/>
        </w:rPr>
      </w:pPr>
      <w:r>
        <w:rPr>
          <w:b/>
          <w:color w:val="000000"/>
          <w:sz w:val="28"/>
          <w:szCs w:val="28"/>
        </w:rPr>
        <w:t xml:space="preserve">Điều </w:t>
      </w:r>
      <w:r w:rsidRPr="00BA1E14">
        <w:rPr>
          <w:b/>
          <w:color w:val="000000"/>
          <w:sz w:val="28"/>
          <w:szCs w:val="28"/>
        </w:rPr>
        <w:t xml:space="preserve">1. </w:t>
      </w:r>
      <w:r w:rsidRPr="00E20FD0">
        <w:rPr>
          <w:sz w:val="28"/>
          <w:szCs w:val="28"/>
        </w:rPr>
        <w:t xml:space="preserve">Quy định mức chi </w:t>
      </w:r>
      <w:r>
        <w:rPr>
          <w:sz w:val="28"/>
          <w:szCs w:val="28"/>
        </w:rPr>
        <w:t>bảo đảm công tác cải cách hành chính nhà nước</w:t>
      </w:r>
      <w:r w:rsidRPr="00E20FD0">
        <w:rPr>
          <w:sz w:val="28"/>
          <w:szCs w:val="28"/>
        </w:rPr>
        <w:t xml:space="preserve"> trên địa bàn thành phố Đà Nẵng</w:t>
      </w:r>
      <w:r>
        <w:rPr>
          <w:sz w:val="28"/>
          <w:szCs w:val="28"/>
        </w:rPr>
        <w:t xml:space="preserve"> </w:t>
      </w:r>
      <w:r w:rsidR="009A3FCB">
        <w:rPr>
          <w:sz w:val="28"/>
          <w:szCs w:val="28"/>
        </w:rPr>
        <w:t>t</w:t>
      </w:r>
      <w:r>
        <w:rPr>
          <w:sz w:val="28"/>
          <w:szCs w:val="28"/>
        </w:rPr>
        <w:t>heo phụ lục đính kèm.</w:t>
      </w:r>
    </w:p>
    <w:p w:rsidR="00840C8D" w:rsidRPr="00BA1E14" w:rsidRDefault="00840C8D" w:rsidP="00840C8D">
      <w:pPr>
        <w:spacing w:before="120" w:line="360" w:lineRule="exact"/>
        <w:ind w:firstLine="720"/>
        <w:jc w:val="both"/>
        <w:rPr>
          <w:sz w:val="28"/>
          <w:szCs w:val="28"/>
        </w:rPr>
      </w:pPr>
      <w:r>
        <w:rPr>
          <w:b/>
          <w:sz w:val="28"/>
          <w:szCs w:val="28"/>
        </w:rPr>
        <w:t xml:space="preserve">Điều </w:t>
      </w:r>
      <w:r w:rsidRPr="00BA1E14">
        <w:rPr>
          <w:b/>
          <w:sz w:val="28"/>
          <w:szCs w:val="28"/>
        </w:rPr>
        <w:t>2. Đối tượng áp dụng</w:t>
      </w:r>
    </w:p>
    <w:p w:rsidR="00840C8D" w:rsidRDefault="00840C8D" w:rsidP="00840C8D">
      <w:pPr>
        <w:spacing w:before="120" w:line="360" w:lineRule="exact"/>
        <w:ind w:firstLine="720"/>
        <w:jc w:val="both"/>
        <w:rPr>
          <w:sz w:val="28"/>
          <w:szCs w:val="28"/>
        </w:rPr>
      </w:pPr>
      <w:r>
        <w:rPr>
          <w:sz w:val="28"/>
          <w:szCs w:val="28"/>
        </w:rPr>
        <w:t>1.</w:t>
      </w:r>
      <w:r w:rsidRPr="00BA1E14">
        <w:rPr>
          <w:sz w:val="28"/>
          <w:szCs w:val="28"/>
        </w:rPr>
        <w:t xml:space="preserve"> </w:t>
      </w:r>
      <w:r>
        <w:rPr>
          <w:sz w:val="28"/>
          <w:szCs w:val="28"/>
        </w:rPr>
        <w:t>Các Sở, Ban, ngành thuộc UBND thành phố;</w:t>
      </w:r>
    </w:p>
    <w:p w:rsidR="00840C8D" w:rsidRDefault="00840C8D" w:rsidP="00840C8D">
      <w:pPr>
        <w:spacing w:before="120" w:line="360" w:lineRule="exact"/>
        <w:ind w:firstLine="720"/>
        <w:jc w:val="both"/>
        <w:rPr>
          <w:sz w:val="28"/>
          <w:szCs w:val="28"/>
        </w:rPr>
      </w:pPr>
      <w:r>
        <w:rPr>
          <w:sz w:val="28"/>
          <w:szCs w:val="28"/>
        </w:rPr>
        <w:t xml:space="preserve">2. Ủy ban nhân dân các quận, huyện; </w:t>
      </w:r>
    </w:p>
    <w:p w:rsidR="00840C8D" w:rsidRDefault="00840C8D" w:rsidP="00840C8D">
      <w:pPr>
        <w:spacing w:before="120" w:line="360" w:lineRule="exact"/>
        <w:ind w:firstLine="720"/>
        <w:jc w:val="both"/>
        <w:rPr>
          <w:sz w:val="28"/>
          <w:szCs w:val="28"/>
        </w:rPr>
      </w:pPr>
      <w:r>
        <w:rPr>
          <w:sz w:val="28"/>
          <w:szCs w:val="28"/>
        </w:rPr>
        <w:t>3. Ủy ban nhân dân các xã, phường.</w:t>
      </w:r>
    </w:p>
    <w:p w:rsidR="00840C8D" w:rsidRDefault="00840C8D" w:rsidP="00840C8D">
      <w:pPr>
        <w:spacing w:before="120" w:line="360" w:lineRule="exact"/>
        <w:ind w:firstLine="720"/>
        <w:jc w:val="both"/>
        <w:rPr>
          <w:b/>
          <w:sz w:val="28"/>
          <w:szCs w:val="28"/>
        </w:rPr>
      </w:pPr>
      <w:r>
        <w:rPr>
          <w:b/>
          <w:sz w:val="28"/>
          <w:szCs w:val="28"/>
        </w:rPr>
        <w:t>Điều 3. Nguồn kinh phí thực hiện</w:t>
      </w:r>
    </w:p>
    <w:p w:rsidR="00840C8D" w:rsidRDefault="00840C8D" w:rsidP="00840C8D">
      <w:pPr>
        <w:spacing w:before="120" w:line="320" w:lineRule="exact"/>
        <w:ind w:firstLine="720"/>
        <w:jc w:val="both"/>
        <w:rPr>
          <w:sz w:val="28"/>
          <w:szCs w:val="28"/>
        </w:rPr>
      </w:pPr>
      <w:r>
        <w:rPr>
          <w:sz w:val="28"/>
          <w:szCs w:val="28"/>
        </w:rPr>
        <w:t>Nguồn ngân sách được bố trí trong dự toán chi thường xuyên hằng năm của các cơ quan, đơn vị theo phân cấp và nguồn thu hợp pháp khác được để lại theo quy định của các cơ quan, đơn vị.</w:t>
      </w:r>
    </w:p>
    <w:p w:rsidR="00840C8D" w:rsidRDefault="00840C8D" w:rsidP="00840C8D">
      <w:pPr>
        <w:spacing w:before="120" w:line="360" w:lineRule="exact"/>
        <w:ind w:firstLine="720"/>
        <w:jc w:val="both"/>
        <w:rPr>
          <w:sz w:val="28"/>
          <w:szCs w:val="28"/>
        </w:rPr>
      </w:pPr>
      <w:r w:rsidRPr="00EF7B1A">
        <w:rPr>
          <w:b/>
          <w:sz w:val="28"/>
          <w:szCs w:val="28"/>
        </w:rPr>
        <w:lastRenderedPageBreak/>
        <w:t>Điều 4.</w:t>
      </w:r>
      <w:r>
        <w:rPr>
          <w:sz w:val="28"/>
          <w:szCs w:val="28"/>
        </w:rPr>
        <w:t xml:space="preserve"> Sở Tài chính có trách nhiệm chủ trì phối hợp với các cơ quan, đơn vị có liên quan hướng dẫn</w:t>
      </w:r>
      <w:r w:rsidR="009A3FCB">
        <w:rPr>
          <w:sz w:val="28"/>
          <w:szCs w:val="28"/>
        </w:rPr>
        <w:t>,</w:t>
      </w:r>
      <w:r>
        <w:rPr>
          <w:sz w:val="28"/>
          <w:szCs w:val="28"/>
        </w:rPr>
        <w:t xml:space="preserve"> </w:t>
      </w:r>
      <w:r w:rsidR="009A3FCB">
        <w:rPr>
          <w:sz w:val="28"/>
          <w:szCs w:val="28"/>
        </w:rPr>
        <w:t xml:space="preserve">kiểm tra </w:t>
      </w:r>
      <w:r>
        <w:rPr>
          <w:sz w:val="28"/>
          <w:szCs w:val="28"/>
        </w:rPr>
        <w:t>việc thực hiện Quyết định này.</w:t>
      </w:r>
    </w:p>
    <w:p w:rsidR="00840C8D" w:rsidRDefault="00840C8D" w:rsidP="00840C8D">
      <w:pPr>
        <w:spacing w:before="120" w:line="360" w:lineRule="exact"/>
        <w:ind w:firstLine="720"/>
        <w:jc w:val="both"/>
        <w:rPr>
          <w:sz w:val="28"/>
          <w:szCs w:val="28"/>
        </w:rPr>
      </w:pPr>
      <w:r w:rsidRPr="00EF7B1A">
        <w:rPr>
          <w:b/>
          <w:sz w:val="28"/>
          <w:szCs w:val="28"/>
        </w:rPr>
        <w:t>Điều 5.</w:t>
      </w:r>
      <w:r>
        <w:rPr>
          <w:sz w:val="28"/>
          <w:szCs w:val="28"/>
        </w:rPr>
        <w:t xml:space="preserve"> Quyết định này có hiệu lực sau 10 ngày kể từ ngày ký và áp dụng từ ngày 01 tháng </w:t>
      </w:r>
      <w:r w:rsidR="00397F95">
        <w:rPr>
          <w:sz w:val="28"/>
          <w:szCs w:val="28"/>
        </w:rPr>
        <w:t>7</w:t>
      </w:r>
      <w:r>
        <w:rPr>
          <w:sz w:val="28"/>
          <w:szCs w:val="28"/>
        </w:rPr>
        <w:t xml:space="preserve"> năm 2013.</w:t>
      </w:r>
    </w:p>
    <w:p w:rsidR="00840C8D" w:rsidRDefault="00840C8D" w:rsidP="00840C8D">
      <w:pPr>
        <w:spacing w:before="120" w:line="360" w:lineRule="exact"/>
        <w:ind w:firstLine="720"/>
        <w:jc w:val="both"/>
        <w:rPr>
          <w:sz w:val="28"/>
          <w:szCs w:val="28"/>
        </w:rPr>
      </w:pPr>
      <w:r w:rsidRPr="009F2A44">
        <w:rPr>
          <w:b/>
          <w:sz w:val="28"/>
          <w:szCs w:val="28"/>
        </w:rPr>
        <w:t>Điều 6.</w:t>
      </w:r>
      <w:r>
        <w:rPr>
          <w:sz w:val="28"/>
          <w:szCs w:val="28"/>
        </w:rPr>
        <w:t xml:space="preserve"> Chánh Văn phòng Ủy ban nhân dân thành phố Đà Nẵng; Giám đốc Sở</w:t>
      </w:r>
      <w:r w:rsidR="00397F95">
        <w:rPr>
          <w:sz w:val="28"/>
          <w:szCs w:val="28"/>
        </w:rPr>
        <w:t xml:space="preserve"> Tài chính</w:t>
      </w:r>
      <w:r>
        <w:rPr>
          <w:sz w:val="28"/>
          <w:szCs w:val="28"/>
        </w:rPr>
        <w:t>; Giám đốc Kho bạc Nhà nước Đà Nẵng; Chủ tịch Ủy ban nhân dân các quận, huyện và Thủ trưởng các cơ quan, tổ chức, cá nhân có liên quan chịu trách nhiệm thi hành Quyết định này./.</w:t>
      </w:r>
    </w:p>
    <w:p w:rsidR="00840C8D" w:rsidRPr="00EF7B1A" w:rsidRDefault="00840C8D" w:rsidP="00840C8D">
      <w:pPr>
        <w:spacing w:before="120" w:line="360" w:lineRule="exact"/>
        <w:ind w:firstLine="720"/>
        <w:jc w:val="both"/>
        <w:rPr>
          <w:sz w:val="28"/>
          <w:szCs w:val="28"/>
        </w:rPr>
      </w:pPr>
    </w:p>
    <w:tbl>
      <w:tblPr>
        <w:tblW w:w="940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60"/>
        <w:gridCol w:w="4845"/>
      </w:tblGrid>
      <w:tr w:rsidR="00840C8D">
        <w:tblPrEx>
          <w:tblCellMar>
            <w:top w:w="0" w:type="dxa"/>
            <w:bottom w:w="0" w:type="dxa"/>
          </w:tblCellMar>
        </w:tblPrEx>
        <w:trPr>
          <w:trHeight w:val="642"/>
        </w:trPr>
        <w:tc>
          <w:tcPr>
            <w:tcW w:w="4560" w:type="dxa"/>
            <w:tcBorders>
              <w:top w:val="nil"/>
              <w:left w:val="nil"/>
              <w:bottom w:val="nil"/>
              <w:right w:val="nil"/>
            </w:tcBorders>
          </w:tcPr>
          <w:p w:rsidR="00840C8D" w:rsidRDefault="00840C8D" w:rsidP="00846B4F">
            <w:pPr>
              <w:tabs>
                <w:tab w:val="left" w:pos="162"/>
              </w:tabs>
              <w:ind w:left="-108"/>
              <w:jc w:val="both"/>
              <w:rPr>
                <w:sz w:val="26"/>
                <w:szCs w:val="26"/>
              </w:rPr>
            </w:pPr>
          </w:p>
        </w:tc>
        <w:tc>
          <w:tcPr>
            <w:tcW w:w="4845" w:type="dxa"/>
            <w:tcBorders>
              <w:top w:val="nil"/>
              <w:left w:val="nil"/>
              <w:bottom w:val="nil"/>
              <w:right w:val="nil"/>
            </w:tcBorders>
          </w:tcPr>
          <w:p w:rsidR="008E4F7A" w:rsidRPr="005014BD" w:rsidRDefault="005014BD" w:rsidP="008E4F7A">
            <w:pPr>
              <w:tabs>
                <w:tab w:val="left" w:pos="5280"/>
                <w:tab w:val="left" w:pos="6210"/>
              </w:tabs>
              <w:jc w:val="center"/>
              <w:rPr>
                <w:b/>
                <w:sz w:val="28"/>
                <w:szCs w:val="28"/>
              </w:rPr>
            </w:pPr>
            <w:r>
              <w:rPr>
                <w:b/>
                <w:sz w:val="28"/>
                <w:szCs w:val="28"/>
              </w:rPr>
              <w:t xml:space="preserve">   </w:t>
            </w:r>
            <w:r w:rsidR="008E4F7A" w:rsidRPr="005014BD">
              <w:rPr>
                <w:b/>
                <w:sz w:val="28"/>
                <w:szCs w:val="28"/>
              </w:rPr>
              <w:t xml:space="preserve">TM. ỦY BAN NHÂN DÂN </w:t>
            </w:r>
          </w:p>
          <w:p w:rsidR="008E4F7A" w:rsidRPr="005014BD" w:rsidRDefault="005014BD" w:rsidP="008E4F7A">
            <w:pPr>
              <w:tabs>
                <w:tab w:val="left" w:pos="5280"/>
                <w:tab w:val="left" w:pos="6210"/>
              </w:tabs>
              <w:jc w:val="center"/>
              <w:rPr>
                <w:b/>
                <w:sz w:val="28"/>
                <w:szCs w:val="28"/>
              </w:rPr>
            </w:pPr>
            <w:r>
              <w:rPr>
                <w:b/>
                <w:sz w:val="28"/>
                <w:szCs w:val="28"/>
              </w:rPr>
              <w:t xml:space="preserve">    </w:t>
            </w:r>
            <w:r w:rsidR="008E4F7A" w:rsidRPr="005014BD">
              <w:rPr>
                <w:b/>
                <w:sz w:val="28"/>
                <w:szCs w:val="28"/>
              </w:rPr>
              <w:t xml:space="preserve">KT. CHỦ TỊCH </w:t>
            </w:r>
          </w:p>
          <w:p w:rsidR="008E4F7A" w:rsidRPr="005014BD" w:rsidRDefault="005014BD" w:rsidP="008E4F7A">
            <w:pPr>
              <w:tabs>
                <w:tab w:val="left" w:pos="5280"/>
                <w:tab w:val="left" w:pos="6210"/>
              </w:tabs>
              <w:jc w:val="center"/>
              <w:rPr>
                <w:b/>
                <w:sz w:val="28"/>
                <w:szCs w:val="28"/>
              </w:rPr>
            </w:pPr>
            <w:r>
              <w:rPr>
                <w:b/>
                <w:sz w:val="28"/>
                <w:szCs w:val="28"/>
              </w:rPr>
              <w:t xml:space="preserve">      </w:t>
            </w:r>
            <w:r w:rsidR="008E4F7A" w:rsidRPr="005014BD">
              <w:rPr>
                <w:b/>
                <w:sz w:val="28"/>
                <w:szCs w:val="28"/>
              </w:rPr>
              <w:t>PHÓ CHỦ TỊCH</w:t>
            </w:r>
          </w:p>
          <w:p w:rsidR="008E4F7A" w:rsidRDefault="008E4F7A" w:rsidP="008E4F7A">
            <w:r>
              <w:t xml:space="preserve">         </w:t>
            </w:r>
          </w:p>
          <w:p w:rsidR="008E4F7A" w:rsidRDefault="008E4F7A" w:rsidP="008E4F7A"/>
          <w:p w:rsidR="00840C8D" w:rsidRDefault="008E4F7A" w:rsidP="00846B4F">
            <w:pPr>
              <w:rPr>
                <w:sz w:val="26"/>
                <w:szCs w:val="26"/>
              </w:rPr>
            </w:pPr>
            <w:r>
              <w:t xml:space="preserve">                </w:t>
            </w:r>
            <w:r w:rsidR="005014BD">
              <w:t xml:space="preserve">         </w:t>
            </w:r>
            <w:r>
              <w:t xml:space="preserve"> </w:t>
            </w:r>
            <w:r w:rsidRPr="001E3814">
              <w:rPr>
                <w:b/>
                <w:sz w:val="28"/>
                <w:szCs w:val="28"/>
              </w:rPr>
              <w:t>Võ Duy Khương</w:t>
            </w:r>
          </w:p>
          <w:p w:rsidR="00840C8D" w:rsidRDefault="00840C8D" w:rsidP="00846B4F">
            <w:pPr>
              <w:tabs>
                <w:tab w:val="left" w:pos="2130"/>
              </w:tabs>
              <w:jc w:val="center"/>
              <w:rPr>
                <w:i/>
              </w:rPr>
            </w:pPr>
          </w:p>
        </w:tc>
      </w:tr>
    </w:tbl>
    <w:p w:rsidR="00840C8D" w:rsidRPr="00BA1E14" w:rsidRDefault="00840C8D" w:rsidP="00840C8D">
      <w:pPr>
        <w:spacing w:before="120" w:after="120" w:line="320" w:lineRule="exact"/>
        <w:ind w:firstLine="720"/>
        <w:jc w:val="both"/>
        <w:rPr>
          <w:sz w:val="28"/>
          <w:szCs w:val="28"/>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505BE9" w:rsidRDefault="00505BE9" w:rsidP="00840C8D">
      <w:pPr>
        <w:rPr>
          <w:sz w:val="20"/>
        </w:rPr>
      </w:pPr>
    </w:p>
    <w:p w:rsidR="00840C8D" w:rsidRDefault="00840C8D" w:rsidP="00840C8D">
      <w:pPr>
        <w:rPr>
          <w:sz w:val="20"/>
        </w:rPr>
      </w:pPr>
    </w:p>
    <w:p w:rsidR="00840C8D" w:rsidRDefault="00840C8D" w:rsidP="00840C8D">
      <w:pPr>
        <w:rPr>
          <w:sz w:val="20"/>
        </w:rPr>
      </w:pPr>
    </w:p>
    <w:p w:rsidR="005014BD" w:rsidRDefault="005014BD" w:rsidP="00840C8D">
      <w:pPr>
        <w:rPr>
          <w:sz w:val="20"/>
        </w:rPr>
      </w:pPr>
    </w:p>
    <w:p w:rsidR="00FC4BD1" w:rsidRDefault="00FC4BD1">
      <w:r>
        <w:br w:type="page"/>
      </w:r>
      <w:bookmarkStart w:id="0" w:name="_GoBack"/>
      <w:bookmarkEnd w:id="0"/>
    </w:p>
    <w:tbl>
      <w:tblPr>
        <w:tblpPr w:leftFromText="180" w:rightFromText="180" w:vertAnchor="text" w:horzAnchor="margin" w:tblpXSpec="center" w:tblpY="2"/>
        <w:tblW w:w="9924" w:type="dxa"/>
        <w:tblLook w:val="0000" w:firstRow="0" w:lastRow="0" w:firstColumn="0" w:lastColumn="0" w:noHBand="0" w:noVBand="0"/>
      </w:tblPr>
      <w:tblGrid>
        <w:gridCol w:w="648"/>
        <w:gridCol w:w="4466"/>
        <w:gridCol w:w="4810"/>
      </w:tblGrid>
      <w:tr w:rsidR="005014BD" w:rsidRPr="00505BE9" w:rsidTr="00FC4BD1">
        <w:trPr>
          <w:trHeight w:val="375"/>
        </w:trPr>
        <w:tc>
          <w:tcPr>
            <w:tcW w:w="9924" w:type="dxa"/>
            <w:gridSpan w:val="3"/>
            <w:tcBorders>
              <w:top w:val="nil"/>
              <w:left w:val="nil"/>
              <w:bottom w:val="nil"/>
              <w:right w:val="nil"/>
            </w:tcBorders>
            <w:shd w:val="clear" w:color="auto" w:fill="auto"/>
            <w:noWrap/>
            <w:vAlign w:val="center"/>
          </w:tcPr>
          <w:p w:rsidR="005014BD" w:rsidRPr="00505BE9" w:rsidRDefault="005014BD" w:rsidP="005014BD">
            <w:pPr>
              <w:jc w:val="center"/>
              <w:rPr>
                <w:b/>
                <w:bCs/>
                <w:sz w:val="28"/>
                <w:szCs w:val="28"/>
              </w:rPr>
            </w:pPr>
            <w:r w:rsidRPr="00505BE9">
              <w:rPr>
                <w:b/>
                <w:bCs/>
                <w:sz w:val="28"/>
                <w:szCs w:val="28"/>
              </w:rPr>
              <w:t xml:space="preserve">PHỤ LỤC </w:t>
            </w:r>
          </w:p>
        </w:tc>
      </w:tr>
      <w:tr w:rsidR="005014BD" w:rsidRPr="00505BE9" w:rsidTr="00FC4BD1">
        <w:trPr>
          <w:trHeight w:val="735"/>
        </w:trPr>
        <w:tc>
          <w:tcPr>
            <w:tcW w:w="9924" w:type="dxa"/>
            <w:gridSpan w:val="3"/>
            <w:tcBorders>
              <w:top w:val="nil"/>
              <w:left w:val="nil"/>
              <w:bottom w:val="nil"/>
              <w:right w:val="nil"/>
            </w:tcBorders>
            <w:shd w:val="clear" w:color="auto" w:fill="auto"/>
            <w:vAlign w:val="center"/>
          </w:tcPr>
          <w:p w:rsidR="005014BD" w:rsidRPr="00505BE9" w:rsidRDefault="005014BD" w:rsidP="005014BD">
            <w:pPr>
              <w:jc w:val="center"/>
              <w:rPr>
                <w:b/>
                <w:bCs/>
                <w:sz w:val="28"/>
                <w:szCs w:val="28"/>
              </w:rPr>
            </w:pPr>
            <w:r w:rsidRPr="00505BE9">
              <w:rPr>
                <w:b/>
                <w:bCs/>
                <w:sz w:val="28"/>
                <w:szCs w:val="28"/>
              </w:rPr>
              <w:t xml:space="preserve">MỨC CHI PHỤC VỤ HOẠT ĐỘNG CẢI CÁCH HÀNH CHÍNH </w:t>
            </w:r>
            <w:r w:rsidRPr="00505BE9">
              <w:rPr>
                <w:b/>
                <w:bCs/>
                <w:sz w:val="28"/>
                <w:szCs w:val="28"/>
              </w:rPr>
              <w:br/>
              <w:t>TRÊN ĐỊA BÀN THÀNH PHỐ ĐÀ NẴNG</w:t>
            </w:r>
          </w:p>
        </w:tc>
      </w:tr>
      <w:tr w:rsidR="005014BD" w:rsidRPr="00505BE9" w:rsidTr="00FC4BD1">
        <w:trPr>
          <w:trHeight w:val="675"/>
        </w:trPr>
        <w:tc>
          <w:tcPr>
            <w:tcW w:w="9924" w:type="dxa"/>
            <w:gridSpan w:val="3"/>
            <w:tcBorders>
              <w:top w:val="nil"/>
              <w:left w:val="nil"/>
              <w:bottom w:val="nil"/>
              <w:right w:val="nil"/>
            </w:tcBorders>
            <w:shd w:val="clear" w:color="auto" w:fill="auto"/>
            <w:vAlign w:val="center"/>
          </w:tcPr>
          <w:p w:rsidR="005014BD" w:rsidRPr="005014BD" w:rsidRDefault="005014BD" w:rsidP="005014BD">
            <w:pPr>
              <w:jc w:val="center"/>
              <w:rPr>
                <w:i/>
                <w:sz w:val="28"/>
                <w:szCs w:val="28"/>
              </w:rPr>
            </w:pPr>
            <w:r w:rsidRPr="005014BD">
              <w:rPr>
                <w:i/>
                <w:sz w:val="28"/>
                <w:szCs w:val="28"/>
              </w:rPr>
              <w:t xml:space="preserve">(Kèm theo Quyết định số:  </w:t>
            </w:r>
            <w:r>
              <w:rPr>
                <w:i/>
                <w:sz w:val="28"/>
                <w:szCs w:val="28"/>
              </w:rPr>
              <w:t>26</w:t>
            </w:r>
            <w:r w:rsidRPr="005014BD">
              <w:rPr>
                <w:i/>
                <w:sz w:val="28"/>
                <w:szCs w:val="28"/>
              </w:rPr>
              <w:t xml:space="preserve"> /2013/QĐ-UBND ngày  </w:t>
            </w:r>
            <w:r>
              <w:rPr>
                <w:i/>
                <w:sz w:val="28"/>
                <w:szCs w:val="28"/>
              </w:rPr>
              <w:t xml:space="preserve">21 </w:t>
            </w:r>
            <w:r w:rsidRPr="005014BD">
              <w:rPr>
                <w:i/>
                <w:sz w:val="28"/>
                <w:szCs w:val="28"/>
              </w:rPr>
              <w:t xml:space="preserve"> tháng 8 năm 2013 </w:t>
            </w:r>
            <w:r w:rsidRPr="005014BD">
              <w:rPr>
                <w:i/>
                <w:sz w:val="28"/>
                <w:szCs w:val="28"/>
              </w:rPr>
              <w:br/>
              <w:t>của Ủy ban nhân dân thành phố Đà Nẵng)</w:t>
            </w:r>
          </w:p>
        </w:tc>
      </w:tr>
      <w:tr w:rsidR="005014BD" w:rsidRPr="00505BE9" w:rsidTr="00FC4BD1">
        <w:trPr>
          <w:trHeight w:val="630"/>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5014BD" w:rsidRPr="00505BE9" w:rsidRDefault="005014BD" w:rsidP="005014BD">
            <w:pPr>
              <w:jc w:val="center"/>
              <w:rPr>
                <w:b/>
                <w:bCs/>
              </w:rPr>
            </w:pPr>
            <w:r w:rsidRPr="00505BE9">
              <w:rPr>
                <w:b/>
                <w:bCs/>
              </w:rPr>
              <w:t>Stt</w:t>
            </w:r>
          </w:p>
        </w:tc>
        <w:tc>
          <w:tcPr>
            <w:tcW w:w="4466" w:type="dxa"/>
            <w:tcBorders>
              <w:top w:val="single" w:sz="4" w:space="0" w:color="auto"/>
              <w:left w:val="nil"/>
              <w:bottom w:val="single" w:sz="4" w:space="0" w:color="auto"/>
              <w:right w:val="single" w:sz="4" w:space="0" w:color="auto"/>
            </w:tcBorders>
            <w:shd w:val="clear" w:color="auto" w:fill="FFFFFF"/>
            <w:vAlign w:val="center"/>
          </w:tcPr>
          <w:p w:rsidR="005014BD" w:rsidRPr="00505BE9" w:rsidRDefault="005014BD" w:rsidP="005014BD">
            <w:pPr>
              <w:jc w:val="center"/>
              <w:rPr>
                <w:b/>
                <w:bCs/>
              </w:rPr>
            </w:pPr>
            <w:r w:rsidRPr="00505BE9">
              <w:rPr>
                <w:b/>
                <w:bCs/>
              </w:rPr>
              <w:t>Nội dung chi</w:t>
            </w:r>
          </w:p>
        </w:tc>
        <w:tc>
          <w:tcPr>
            <w:tcW w:w="4810" w:type="dxa"/>
            <w:tcBorders>
              <w:top w:val="single" w:sz="4" w:space="0" w:color="auto"/>
              <w:left w:val="nil"/>
              <w:bottom w:val="single" w:sz="4" w:space="0" w:color="auto"/>
              <w:right w:val="single" w:sz="4" w:space="0" w:color="auto"/>
            </w:tcBorders>
            <w:shd w:val="clear" w:color="auto" w:fill="FFFFFF"/>
            <w:vAlign w:val="center"/>
          </w:tcPr>
          <w:p w:rsidR="005014BD" w:rsidRPr="00505BE9" w:rsidRDefault="005014BD" w:rsidP="005014BD">
            <w:pPr>
              <w:jc w:val="center"/>
              <w:rPr>
                <w:b/>
                <w:bCs/>
              </w:rPr>
            </w:pPr>
            <w:r w:rsidRPr="00505BE9">
              <w:rPr>
                <w:b/>
                <w:bCs/>
              </w:rPr>
              <w:t xml:space="preserve">Mức chi </w:t>
            </w:r>
          </w:p>
        </w:tc>
      </w:tr>
      <w:tr w:rsidR="005014BD" w:rsidRPr="00505BE9" w:rsidTr="00FC4BD1">
        <w:trPr>
          <w:trHeight w:val="94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1</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xây dựng đề cương chương trình, các cuộc họp góp ý, tổ chức thẩm định kế hoạch, báo cáo, đề cương, chuyên đề</w:t>
            </w:r>
          </w:p>
        </w:tc>
        <w:tc>
          <w:tcPr>
            <w:tcW w:w="4810" w:type="dxa"/>
            <w:tcBorders>
              <w:top w:val="nil"/>
              <w:left w:val="nil"/>
              <w:bottom w:val="single" w:sz="4" w:space="0" w:color="auto"/>
              <w:right w:val="single" w:sz="4" w:space="0" w:color="auto"/>
            </w:tcBorders>
            <w:shd w:val="clear" w:color="auto" w:fill="auto"/>
            <w:noWrap/>
            <w:vAlign w:val="center"/>
          </w:tcPr>
          <w:p w:rsidR="005014BD" w:rsidRPr="005014BD" w:rsidRDefault="005014BD" w:rsidP="005014BD">
            <w:pPr>
              <w:jc w:val="both"/>
              <w:rPr>
                <w:sz w:val="26"/>
                <w:szCs w:val="26"/>
              </w:rPr>
            </w:pPr>
            <w:r w:rsidRPr="005014BD">
              <w:rPr>
                <w:sz w:val="26"/>
                <w:szCs w:val="26"/>
              </w:rPr>
              <w:t> </w:t>
            </w:r>
          </w:p>
        </w:tc>
      </w:tr>
      <w:tr w:rsidR="005014BD" w:rsidRPr="00505BE9" w:rsidTr="00FC4BD1">
        <w:trPr>
          <w:trHeight w:val="31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a</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Xây dựng đề cương chương trình</w:t>
            </w:r>
          </w:p>
        </w:tc>
        <w:tc>
          <w:tcPr>
            <w:tcW w:w="4810" w:type="dxa"/>
            <w:tcBorders>
              <w:top w:val="nil"/>
              <w:left w:val="nil"/>
              <w:bottom w:val="single" w:sz="4" w:space="0" w:color="auto"/>
              <w:right w:val="single" w:sz="4" w:space="0" w:color="auto"/>
            </w:tcBorders>
            <w:shd w:val="clear" w:color="auto" w:fill="auto"/>
            <w:noWrap/>
            <w:vAlign w:val="center"/>
          </w:tcPr>
          <w:p w:rsidR="005014BD" w:rsidRPr="005014BD" w:rsidRDefault="005014BD" w:rsidP="005014BD">
            <w:pPr>
              <w:jc w:val="both"/>
              <w:rPr>
                <w:sz w:val="26"/>
                <w:szCs w:val="26"/>
              </w:rPr>
            </w:pPr>
            <w:r w:rsidRPr="005014BD">
              <w:rPr>
                <w:sz w:val="26"/>
                <w:szCs w:val="26"/>
              </w:rPr>
              <w:t> </w:t>
            </w:r>
          </w:p>
        </w:tc>
      </w:tr>
      <w:tr w:rsidR="005014BD" w:rsidRPr="00505BE9" w:rsidTr="00FC4BD1">
        <w:trPr>
          <w:trHeight w:val="1260"/>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Xây dựng đề cương chi tiết Chương trình</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Quyết định số 38/2012/QĐ-UBND ngày 23/8/2012 của UBND thành phố Đà Nẵng quy định một số mức chi đặc thù thực hiện nhiệm vụ phổ biến, giáo dục pháp luật trên địa bàn thành phố Đà Nẵng</w:t>
            </w:r>
          </w:p>
        </w:tc>
      </w:tr>
      <w:tr w:rsidR="005014BD" w:rsidRPr="00505BE9" w:rsidTr="00FC4BD1">
        <w:trPr>
          <w:trHeight w:val="37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Tổng hợp hoàn chỉnh đề cương của Chương trình</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Quyết định số 38/2012/QĐ-UBND</w:t>
            </w:r>
          </w:p>
        </w:tc>
      </w:tr>
      <w:tr w:rsidR="005014BD" w:rsidRPr="00505BE9" w:rsidTr="00FC4BD1">
        <w:trPr>
          <w:trHeight w:val="64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b</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các cuộc họp góp ý, tổ chức thẩm định kế hoạch, báo cáo, đề cương, chuyên đề</w:t>
            </w:r>
          </w:p>
        </w:tc>
        <w:tc>
          <w:tcPr>
            <w:tcW w:w="4810" w:type="dxa"/>
            <w:tcBorders>
              <w:top w:val="nil"/>
              <w:left w:val="nil"/>
              <w:bottom w:val="single" w:sz="4" w:space="0" w:color="auto"/>
              <w:right w:val="single" w:sz="4" w:space="0" w:color="auto"/>
            </w:tcBorders>
            <w:shd w:val="clear" w:color="auto" w:fill="auto"/>
            <w:noWrap/>
            <w:vAlign w:val="center"/>
          </w:tcPr>
          <w:p w:rsidR="005014BD" w:rsidRPr="005014BD" w:rsidRDefault="005014BD" w:rsidP="005014BD">
            <w:pPr>
              <w:jc w:val="both"/>
              <w:rPr>
                <w:sz w:val="26"/>
                <w:szCs w:val="26"/>
              </w:rPr>
            </w:pPr>
            <w:r w:rsidRPr="005014BD">
              <w:rPr>
                <w:sz w:val="26"/>
                <w:szCs w:val="26"/>
              </w:rPr>
              <w:t> </w:t>
            </w:r>
          </w:p>
        </w:tc>
      </w:tr>
      <w:tr w:rsidR="005014BD" w:rsidRPr="00505BE9" w:rsidTr="00FC4BD1">
        <w:trPr>
          <w:trHeight w:val="31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Chủ trì cuộc họp</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right"/>
              <w:rPr>
                <w:sz w:val="26"/>
                <w:szCs w:val="26"/>
              </w:rPr>
            </w:pPr>
            <w:r w:rsidRPr="005014BD">
              <w:rPr>
                <w:sz w:val="26"/>
                <w:szCs w:val="26"/>
              </w:rPr>
              <w:t>150.000 đồng/người/buổi</w:t>
            </w:r>
          </w:p>
        </w:tc>
      </w:tr>
      <w:tr w:rsidR="005014BD" w:rsidRPr="00505BE9" w:rsidTr="00FC4BD1">
        <w:trPr>
          <w:trHeight w:val="31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Đại biểu được mời tham dự</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right"/>
              <w:rPr>
                <w:sz w:val="26"/>
                <w:szCs w:val="26"/>
              </w:rPr>
            </w:pPr>
            <w:r w:rsidRPr="005014BD">
              <w:rPr>
                <w:sz w:val="26"/>
                <w:szCs w:val="26"/>
              </w:rPr>
              <w:t>100.000 đồng/người/buổi</w:t>
            </w:r>
          </w:p>
        </w:tc>
      </w:tr>
      <w:tr w:rsidR="005014BD" w:rsidRPr="00505BE9" w:rsidTr="00FC4BD1">
        <w:trPr>
          <w:trHeight w:val="31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Bài tham luận</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right"/>
              <w:rPr>
                <w:sz w:val="26"/>
                <w:szCs w:val="26"/>
              </w:rPr>
            </w:pPr>
            <w:r w:rsidRPr="005014BD">
              <w:rPr>
                <w:sz w:val="26"/>
                <w:szCs w:val="26"/>
              </w:rPr>
              <w:t>300.000 đồng/bài viết</w:t>
            </w:r>
          </w:p>
        </w:tc>
      </w:tr>
      <w:tr w:rsidR="005014BD" w:rsidRPr="00505BE9" w:rsidTr="00FC4BD1">
        <w:trPr>
          <w:trHeight w:val="31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Bài nhận xét góp ý chỉnh sửa</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right"/>
              <w:rPr>
                <w:sz w:val="26"/>
                <w:szCs w:val="26"/>
              </w:rPr>
            </w:pPr>
            <w:r w:rsidRPr="005014BD">
              <w:rPr>
                <w:sz w:val="26"/>
                <w:szCs w:val="26"/>
              </w:rPr>
              <w:t>200.000 đồng/bài viết</w:t>
            </w:r>
          </w:p>
        </w:tc>
      </w:tr>
      <w:tr w:rsidR="005014BD" w:rsidRPr="00505BE9" w:rsidTr="00FC4BD1">
        <w:trPr>
          <w:trHeight w:val="157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2</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xây dựng các văn bản quy phạm pháp luật phục vụ công tác cải cách hành chính tại địa phương</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Thông tư Liên tịch số 47/2012/TTLT-BTC-BTP ngày 16/3/2012 của Bộ Tài chính, Bộ Tư pháp quy định việc lập dự toán, quản lý, sử dụng và quyết toán kinh phí ngân sách nhà nước bảo đảm cho công tác xây dựng và hoàn thiện văn bản quy phạm pháp luật của HĐND, UBND</w:t>
            </w:r>
          </w:p>
        </w:tc>
      </w:tr>
      <w:tr w:rsidR="005014BD" w:rsidRPr="00505BE9" w:rsidTr="00FC4BD1">
        <w:trPr>
          <w:trHeight w:val="1890"/>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3</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nghiên cứu các đề tài khoa học phục vụ công tác cải cách hành chính; nghiên cứu, xây dựng Bộ chỉ số theo dõi, đánh giá cải cách hành chính của các Bộ, ngành, địa phương; chi xây dựng các chuyên đề của các Đề án, Dự án về cải cách hành chính; chi các hội thảo khoa học, diễn đàn khoa học về cải cách hành chính</w:t>
            </w:r>
          </w:p>
        </w:tc>
        <w:tc>
          <w:tcPr>
            <w:tcW w:w="4810" w:type="dxa"/>
            <w:tcBorders>
              <w:top w:val="nil"/>
              <w:left w:val="nil"/>
              <w:bottom w:val="single" w:sz="4" w:space="0" w:color="auto"/>
              <w:right w:val="single" w:sz="4" w:space="0" w:color="auto"/>
            </w:tcBorders>
            <w:shd w:val="clear" w:color="auto" w:fill="auto"/>
            <w:vAlign w:val="center"/>
          </w:tcPr>
          <w:p w:rsidR="005014BD" w:rsidRPr="005014BD" w:rsidRDefault="005014BD" w:rsidP="005014BD">
            <w:pPr>
              <w:jc w:val="both"/>
              <w:rPr>
                <w:sz w:val="26"/>
                <w:szCs w:val="26"/>
              </w:rPr>
            </w:pPr>
            <w:r w:rsidRPr="005014BD">
              <w:rPr>
                <w:sz w:val="26"/>
                <w:szCs w:val="26"/>
              </w:rPr>
              <w:t> Áp dụng mức chi tại Quyết định số 03/2009/QĐ-UBND ngày 18/02/2009 của UBND thành phố Đà Nẵng về việc ban hành quy định về định mức xây dựng và phân bổ dự toán kinh phí đối với các đề tài, dự án khoa học và công nghệ có sử dụng ngân sách thành phố</w:t>
            </w:r>
          </w:p>
        </w:tc>
      </w:tr>
      <w:tr w:rsidR="005014BD" w:rsidRPr="00505BE9" w:rsidTr="00FC4BD1">
        <w:trPr>
          <w:trHeight w:val="2520"/>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lastRenderedPageBreak/>
              <w:t>4</w:t>
            </w:r>
          </w:p>
        </w:tc>
        <w:tc>
          <w:tcPr>
            <w:tcW w:w="4466" w:type="dxa"/>
            <w:tcBorders>
              <w:top w:val="single" w:sz="4" w:space="0" w:color="auto"/>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tổ chức các lớp tập huấn, đào tạo, bồi dưỡng nâng cao trình độ nghiệp vụ chuyên môn và công nghệ thông tin cho đội ngũ cán bộ công chức làm công tác cải cách hành chính; chi tổ chức các lớp tập huấn, nâng cao nhận thức và cung cấp thông tin cho cán bộ, phóng viên, biên tập viên phụ trách các chuyên trang, chuyên mục cải cách hành chính tại các cơ quan báo, đài ở địa phương và trung ương</w:t>
            </w:r>
          </w:p>
        </w:tc>
        <w:tc>
          <w:tcPr>
            <w:tcW w:w="4810" w:type="dxa"/>
            <w:tcBorders>
              <w:top w:val="single" w:sz="4" w:space="0" w:color="auto"/>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Thông tư số 139/2010/TT-BTC ngày 21/9/2010 của Bộ Tài chính quy định việc lập dự toán, quản lý và sử dụng kinh phí từ ngân sách Nhà nước dành cho công tác đào tạo, bồi dưỡng cán bộ, công chức</w:t>
            </w:r>
          </w:p>
        </w:tc>
      </w:tr>
      <w:tr w:rsidR="005014BD" w:rsidRPr="00505BE9" w:rsidTr="00FC4BD1">
        <w:trPr>
          <w:trHeight w:val="1260"/>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5</w:t>
            </w:r>
          </w:p>
        </w:tc>
        <w:tc>
          <w:tcPr>
            <w:tcW w:w="4466" w:type="dxa"/>
            <w:tcBorders>
              <w:top w:val="single" w:sz="4" w:space="0" w:color="auto"/>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tổ chức các cuộc điều tra, khảo sát, thu thập thông tin và xử lý dữ liệu thống kê về cải cách hành chính; điều tra, khảo sát sự hài lòng của cá nhân, tổ chức về cải cách hành chính</w:t>
            </w:r>
          </w:p>
        </w:tc>
        <w:tc>
          <w:tcPr>
            <w:tcW w:w="4810" w:type="dxa"/>
            <w:tcBorders>
              <w:top w:val="single" w:sz="4" w:space="0" w:color="auto"/>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Thông tư 58/2011/TT-BTC ngày 11/5/2011 của Bộ Tài chính hướng dẫn quản lý, sử dụng và quyết toán kinh phí thực hiện các cuộc điều tra thống kê</w:t>
            </w:r>
          </w:p>
        </w:tc>
      </w:tr>
      <w:tr w:rsidR="005014BD" w:rsidRPr="00505BE9" w:rsidTr="00FC4BD1">
        <w:trPr>
          <w:trHeight w:val="157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6</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tổ chức các cuộc họp, hội nghị sơ kết, tổng kết, diễn đàn chia sẻ kinh nghiệm về cải cách hành chính</w:t>
            </w:r>
          </w:p>
        </w:tc>
        <w:tc>
          <w:tcPr>
            <w:tcW w:w="4810" w:type="dxa"/>
            <w:tcBorders>
              <w:top w:val="nil"/>
              <w:left w:val="nil"/>
              <w:bottom w:val="single" w:sz="4" w:space="0" w:color="auto"/>
              <w:right w:val="single" w:sz="4" w:space="0" w:color="auto"/>
            </w:tcBorders>
            <w:shd w:val="clear" w:color="auto" w:fill="auto"/>
            <w:vAlign w:val="center"/>
          </w:tcPr>
          <w:p w:rsidR="005014BD" w:rsidRPr="005014BD" w:rsidRDefault="005014BD" w:rsidP="005014BD">
            <w:pPr>
              <w:jc w:val="both"/>
              <w:rPr>
                <w:sz w:val="26"/>
                <w:szCs w:val="26"/>
              </w:rPr>
            </w:pPr>
            <w:r w:rsidRPr="005014BD">
              <w:rPr>
                <w:sz w:val="26"/>
                <w:szCs w:val="26"/>
              </w:rPr>
              <w:t>Áp dụng mức chi tại Quyết định số 06/2011/QĐ-UBND ngày 08/02/2011 của UBND thành phố Đà Nẵng ban hành mức chi công tác phí, chi tổ chức các cuộc hội nghị đối với các cơ quan nhà nước và đơn vị sự nghiệp công lập trên địa bàn thành phố Đà Nẵng</w:t>
            </w:r>
          </w:p>
        </w:tc>
      </w:tr>
      <w:tr w:rsidR="005014BD" w:rsidRPr="00505BE9" w:rsidTr="00FC4BD1">
        <w:trPr>
          <w:trHeight w:val="46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7</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thông tin, tuyên truyền về cải cách hành chính</w:t>
            </w:r>
          </w:p>
        </w:tc>
        <w:tc>
          <w:tcPr>
            <w:tcW w:w="4810" w:type="dxa"/>
            <w:tcBorders>
              <w:top w:val="nil"/>
              <w:left w:val="nil"/>
              <w:bottom w:val="single" w:sz="4" w:space="0" w:color="auto"/>
              <w:right w:val="single" w:sz="4" w:space="0" w:color="auto"/>
            </w:tcBorders>
            <w:shd w:val="clear" w:color="auto" w:fill="auto"/>
            <w:noWrap/>
            <w:vAlign w:val="center"/>
          </w:tcPr>
          <w:p w:rsidR="005014BD" w:rsidRPr="005014BD" w:rsidRDefault="005014BD" w:rsidP="005014BD">
            <w:pPr>
              <w:jc w:val="both"/>
              <w:rPr>
                <w:sz w:val="26"/>
                <w:szCs w:val="26"/>
              </w:rPr>
            </w:pPr>
            <w:r w:rsidRPr="005014BD">
              <w:rPr>
                <w:sz w:val="26"/>
                <w:szCs w:val="26"/>
              </w:rPr>
              <w:t> </w:t>
            </w:r>
          </w:p>
        </w:tc>
      </w:tr>
      <w:tr w:rsidR="005014BD" w:rsidRPr="00505BE9" w:rsidTr="00FC4BD1">
        <w:trPr>
          <w:trHeight w:val="1350"/>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a</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tổ chức các cuộc thi tìm hiểu về cải cách hành chính.</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Quyết định số 38/2012/QĐ-UBND ngày 23/8/2012 của UBND thành phố Đà Nẵng về việc quy định một số mức chi đặc thù thực hiện nhiệm vụ phổ biến, giáo dục pháp luật trên địa bàn thành phố Đà Nẵng</w:t>
            </w:r>
          </w:p>
        </w:tc>
      </w:tr>
      <w:tr w:rsidR="005014BD" w:rsidRPr="00505BE9" w:rsidTr="00FC4BD1">
        <w:trPr>
          <w:trHeight w:val="100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b</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xây dựng tin, bài, ấn phẩm, sản phẩm truyền thông về cải cách hành chính.</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Đối với chế độ nhuận bút thực hiện theo Nghị định số 61/2002/NĐ-CP ngày 11/6/2002 của Chính phủ và Thông tư liên tịch số 21/2003/TTLT-BVHTT-BTC ngày 1/7/2003</w:t>
            </w:r>
          </w:p>
        </w:tc>
      </w:tr>
      <w:tr w:rsidR="005014BD" w:rsidRPr="00505BE9" w:rsidTr="00FC4BD1">
        <w:trPr>
          <w:trHeight w:val="1575"/>
        </w:trPr>
        <w:tc>
          <w:tcPr>
            <w:tcW w:w="648" w:type="dxa"/>
            <w:vMerge w:val="restart"/>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c</w:t>
            </w:r>
          </w:p>
        </w:tc>
        <w:tc>
          <w:tcPr>
            <w:tcW w:w="4466" w:type="dxa"/>
            <w:vMerge w:val="restart"/>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xây dựng, duy trì thường xuyên các chuyên mục về cải cách hành chính trên các phương tiện thông tin đại chúng; chi xây dựng, nâng cấp, quản lý và vận hành hệ thống cơ sở dữ liệu cải cách hành chính, website cải cách hành chính; chi thiết kế băng rôn, pano, khẩu hiệu để tuyên truyền về cải cách hành chính</w:t>
            </w:r>
          </w:p>
        </w:tc>
        <w:tc>
          <w:tcPr>
            <w:tcW w:w="4810" w:type="dxa"/>
            <w:tcBorders>
              <w:top w:val="nil"/>
              <w:left w:val="nil"/>
              <w:bottom w:val="single" w:sz="4" w:space="0" w:color="auto"/>
              <w:right w:val="single" w:sz="4" w:space="0" w:color="auto"/>
            </w:tcBorders>
            <w:shd w:val="clear" w:color="auto" w:fill="auto"/>
            <w:vAlign w:val="center"/>
          </w:tcPr>
          <w:p w:rsidR="005014BD" w:rsidRPr="005014BD" w:rsidRDefault="005014BD" w:rsidP="005014BD">
            <w:pPr>
              <w:jc w:val="both"/>
              <w:rPr>
                <w:sz w:val="26"/>
                <w:szCs w:val="26"/>
              </w:rPr>
            </w:pPr>
            <w:r w:rsidRPr="005014BD">
              <w:rPr>
                <w:sz w:val="26"/>
                <w:szCs w:val="26"/>
              </w:rPr>
              <w:t>Đối với chi tạo lập thông tin điện tử áp dụng theo mức chi tại Thông tư số 194/2012/TT-BTC ngày 15/11/2012 của Bộ Tài chính về việc hướng dẫn mức chi tạo lập trang thông tin điện tử nhằm duy trì thường xuyên của các cơ quan, đơn vị sử dụng ngân sách nhà nước</w:t>
            </w:r>
          </w:p>
        </w:tc>
      </w:tr>
      <w:tr w:rsidR="005014BD" w:rsidRPr="00505BE9" w:rsidTr="00FC4BD1">
        <w:trPr>
          <w:trHeight w:val="765"/>
        </w:trPr>
        <w:tc>
          <w:tcPr>
            <w:tcW w:w="648" w:type="dxa"/>
            <w:vMerge/>
            <w:tcBorders>
              <w:top w:val="nil"/>
              <w:left w:val="single" w:sz="4" w:space="0" w:color="auto"/>
              <w:bottom w:val="single" w:sz="4" w:space="0" w:color="auto"/>
              <w:right w:val="single" w:sz="4" w:space="0" w:color="auto"/>
            </w:tcBorders>
            <w:vAlign w:val="center"/>
          </w:tcPr>
          <w:p w:rsidR="005014BD" w:rsidRPr="005014BD" w:rsidRDefault="005014BD" w:rsidP="005014BD">
            <w:pPr>
              <w:rPr>
                <w:sz w:val="26"/>
                <w:szCs w:val="26"/>
              </w:rPr>
            </w:pPr>
          </w:p>
        </w:tc>
        <w:tc>
          <w:tcPr>
            <w:tcW w:w="4466" w:type="dxa"/>
            <w:vMerge/>
            <w:tcBorders>
              <w:top w:val="nil"/>
              <w:left w:val="single" w:sz="4" w:space="0" w:color="auto"/>
              <w:bottom w:val="single" w:sz="4" w:space="0" w:color="auto"/>
              <w:right w:val="single" w:sz="4" w:space="0" w:color="auto"/>
            </w:tcBorders>
            <w:vAlign w:val="center"/>
          </w:tcPr>
          <w:p w:rsidR="005014BD" w:rsidRPr="005014BD" w:rsidRDefault="005014BD" w:rsidP="005014BD">
            <w:pPr>
              <w:rPr>
                <w:sz w:val="26"/>
                <w:szCs w:val="26"/>
              </w:rPr>
            </w:pP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Đối với các khoản chi khác căn cứ vào hóa đơn, chứng từ chi tiêu hợp pháp</w:t>
            </w:r>
          </w:p>
        </w:tc>
      </w:tr>
      <w:tr w:rsidR="005014BD" w:rsidRPr="00505BE9" w:rsidTr="00FC4BD1">
        <w:trPr>
          <w:trHeight w:val="1575"/>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lastRenderedPageBreak/>
              <w:t>8</w:t>
            </w:r>
          </w:p>
        </w:tc>
        <w:tc>
          <w:tcPr>
            <w:tcW w:w="4466" w:type="dxa"/>
            <w:tcBorders>
              <w:top w:val="single" w:sz="4" w:space="0" w:color="auto"/>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tổ chức các đoàn thanh tra, kiểm tra tình hình thực hiện cải cách hành chính, các đoàn đi công tác trong nước triển khai các công việc liên quan đến cải cách hành chính; chi cho đoàn công tác khảo sát, học tập kinh nghiệm về cải cách hành chính ở nước ngoài</w:t>
            </w:r>
          </w:p>
        </w:tc>
        <w:tc>
          <w:tcPr>
            <w:tcW w:w="4810" w:type="dxa"/>
            <w:tcBorders>
              <w:top w:val="single" w:sz="4" w:space="0" w:color="auto"/>
              <w:left w:val="nil"/>
              <w:bottom w:val="single" w:sz="4" w:space="0" w:color="auto"/>
              <w:right w:val="single" w:sz="4" w:space="0" w:color="auto"/>
            </w:tcBorders>
            <w:shd w:val="clear" w:color="auto" w:fill="auto"/>
            <w:noWrap/>
            <w:vAlign w:val="center"/>
          </w:tcPr>
          <w:p w:rsidR="005014BD" w:rsidRPr="005014BD" w:rsidRDefault="005014BD" w:rsidP="005014BD">
            <w:pPr>
              <w:jc w:val="both"/>
              <w:rPr>
                <w:sz w:val="26"/>
                <w:szCs w:val="26"/>
              </w:rPr>
            </w:pPr>
            <w:r w:rsidRPr="005014BD">
              <w:rPr>
                <w:sz w:val="26"/>
                <w:szCs w:val="26"/>
              </w:rPr>
              <w:t> </w:t>
            </w:r>
          </w:p>
        </w:tc>
      </w:tr>
      <w:tr w:rsidR="005014BD" w:rsidRPr="00505BE9" w:rsidTr="00FC4BD1">
        <w:trPr>
          <w:trHeight w:val="157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a</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Các đoàn đi trong nước</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Quyết định số 06/2011/QĐ-UBND ngày 08/02/2011 của UBND thành phố Đà Nẵng về ban hành mức chi công tác phí, chi tổ chức các cuộc hội nghị đối với các cơ quan nhà nước và đơn vị sự nghiệp công lập trên địa bàn thành phố Đà Nẵng</w:t>
            </w:r>
          </w:p>
        </w:tc>
      </w:tr>
      <w:tr w:rsidR="005014BD" w:rsidRPr="00505BE9" w:rsidTr="00FC4BD1">
        <w:trPr>
          <w:trHeight w:val="1260"/>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b</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Các đoàn đi nước ngoài</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theo quy định tại Thông tư số 102/2012/TT-BTC của Bộ Tài chính quy định chế độ công tác phí cho cán bộ, công chức nhà nước đi công tác ngắn hạn ở nước ngoài do ngân sách nhà nước bảo đảm kinh phí</w:t>
            </w:r>
          </w:p>
        </w:tc>
      </w:tr>
      <w:tr w:rsidR="005014BD" w:rsidRPr="00505BE9" w:rsidTr="00FC4BD1">
        <w:trPr>
          <w:trHeight w:val="480"/>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9</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thuê chuyên gia tư vấn về cải cách hành chính</w:t>
            </w:r>
          </w:p>
        </w:tc>
        <w:tc>
          <w:tcPr>
            <w:tcW w:w="4810" w:type="dxa"/>
            <w:tcBorders>
              <w:top w:val="nil"/>
              <w:left w:val="nil"/>
              <w:bottom w:val="single" w:sz="4" w:space="0" w:color="auto"/>
              <w:right w:val="single" w:sz="4" w:space="0" w:color="auto"/>
            </w:tcBorders>
            <w:shd w:val="clear" w:color="auto" w:fill="auto"/>
            <w:noWrap/>
            <w:vAlign w:val="center"/>
          </w:tcPr>
          <w:p w:rsidR="005014BD" w:rsidRPr="005014BD" w:rsidRDefault="005014BD" w:rsidP="005014BD">
            <w:pPr>
              <w:jc w:val="both"/>
              <w:rPr>
                <w:sz w:val="26"/>
                <w:szCs w:val="26"/>
              </w:rPr>
            </w:pPr>
            <w:r w:rsidRPr="005014BD">
              <w:rPr>
                <w:sz w:val="26"/>
                <w:szCs w:val="26"/>
              </w:rPr>
              <w:t> </w:t>
            </w:r>
          </w:p>
        </w:tc>
      </w:tr>
      <w:tr w:rsidR="005014BD" w:rsidRPr="00505BE9" w:rsidTr="00FC4BD1">
        <w:trPr>
          <w:trHeight w:val="46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a</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Chuyên gia trong nước</w:t>
            </w:r>
          </w:p>
        </w:tc>
        <w:tc>
          <w:tcPr>
            <w:tcW w:w="4810" w:type="dxa"/>
            <w:vMerge w:val="restart"/>
            <w:tcBorders>
              <w:top w:val="nil"/>
              <w:left w:val="single" w:sz="4" w:space="0" w:color="auto"/>
              <w:bottom w:val="single" w:sz="4" w:space="0" w:color="auto"/>
              <w:right w:val="single" w:sz="4" w:space="0" w:color="auto"/>
            </w:tcBorders>
            <w:shd w:val="clear" w:color="auto" w:fill="auto"/>
            <w:vAlign w:val="center"/>
          </w:tcPr>
          <w:p w:rsidR="005014BD" w:rsidRPr="005014BD" w:rsidRDefault="005014BD" w:rsidP="005014BD">
            <w:pPr>
              <w:jc w:val="both"/>
              <w:rPr>
                <w:sz w:val="26"/>
                <w:szCs w:val="26"/>
              </w:rPr>
            </w:pPr>
            <w:r w:rsidRPr="005014BD">
              <w:rPr>
                <w:sz w:val="26"/>
                <w:szCs w:val="26"/>
              </w:rPr>
              <w:t> Áp dụng mức chi theo quy định tại Thông tư số 167/2012/TT-BTC ngày 10/10/2012 của Bộ Tài chính quy định việc lập dự toán, quản lý và sử dụng kinh phí thực hiện các hoạt động kiểm soát thủ tục hành chính</w:t>
            </w:r>
          </w:p>
        </w:tc>
      </w:tr>
      <w:tr w:rsidR="005014BD" w:rsidRPr="00505BE9" w:rsidTr="00FC4BD1">
        <w:trPr>
          <w:trHeight w:val="103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b</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Chuyên gia nước ngoài</w:t>
            </w:r>
          </w:p>
        </w:tc>
        <w:tc>
          <w:tcPr>
            <w:tcW w:w="4810" w:type="dxa"/>
            <w:vMerge/>
            <w:tcBorders>
              <w:top w:val="nil"/>
              <w:left w:val="single" w:sz="4" w:space="0" w:color="auto"/>
              <w:bottom w:val="single" w:sz="4" w:space="0" w:color="auto"/>
              <w:right w:val="single" w:sz="4" w:space="0" w:color="auto"/>
            </w:tcBorders>
            <w:vAlign w:val="center"/>
          </w:tcPr>
          <w:p w:rsidR="005014BD" w:rsidRPr="005014BD" w:rsidRDefault="005014BD" w:rsidP="005014BD">
            <w:pPr>
              <w:rPr>
                <w:sz w:val="26"/>
                <w:szCs w:val="26"/>
              </w:rPr>
            </w:pPr>
          </w:p>
        </w:tc>
      </w:tr>
      <w:tr w:rsidR="005014BD" w:rsidRPr="00505BE9" w:rsidTr="00FC4BD1">
        <w:trPr>
          <w:trHeight w:val="315"/>
        </w:trPr>
        <w:tc>
          <w:tcPr>
            <w:tcW w:w="648" w:type="dxa"/>
            <w:vMerge w:val="restart"/>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10</w:t>
            </w:r>
          </w:p>
        </w:tc>
        <w:tc>
          <w:tcPr>
            <w:tcW w:w="4466" w:type="dxa"/>
            <w:vMerge w:val="restart"/>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hỗ trợ cán bộ, công chức làm việc tại bộ phận tiếp nhận và trả kết quả ở địa phương (một cửa, một cửa liên thông)</w:t>
            </w:r>
          </w:p>
        </w:tc>
        <w:tc>
          <w:tcPr>
            <w:tcW w:w="4810" w:type="dxa"/>
            <w:vMerge w:val="restart"/>
            <w:tcBorders>
              <w:top w:val="nil"/>
              <w:left w:val="single" w:sz="4" w:space="0" w:color="auto"/>
              <w:bottom w:val="single" w:sz="4" w:space="0" w:color="auto"/>
              <w:right w:val="single" w:sz="4" w:space="0" w:color="auto"/>
            </w:tcBorders>
            <w:shd w:val="clear" w:color="auto" w:fill="auto"/>
            <w:vAlign w:val="center"/>
          </w:tcPr>
          <w:p w:rsidR="005014BD" w:rsidRPr="005014BD" w:rsidRDefault="005014BD" w:rsidP="005014BD">
            <w:pPr>
              <w:jc w:val="both"/>
              <w:rPr>
                <w:sz w:val="26"/>
                <w:szCs w:val="26"/>
              </w:rPr>
            </w:pPr>
            <w:r w:rsidRPr="005014BD">
              <w:rPr>
                <w:sz w:val="26"/>
                <w:szCs w:val="26"/>
              </w:rPr>
              <w:t>Áp dụng mức chi tại Quyết định số 6530/QĐ-UBND ngày 10/8/2012 của UBND thành phố Đà Nẵng về chế độ phụ cấp đối với cán bộ, công chức, viên chức làm việc tại bộ phận tiếp nhận và trả kết quả, cụ thể: 20% mức lương tối thiểu/tháng/người</w:t>
            </w:r>
          </w:p>
        </w:tc>
      </w:tr>
      <w:tr w:rsidR="005014BD" w:rsidRPr="00505BE9" w:rsidTr="00FC4BD1">
        <w:trPr>
          <w:trHeight w:val="1215"/>
        </w:trPr>
        <w:tc>
          <w:tcPr>
            <w:tcW w:w="648" w:type="dxa"/>
            <w:vMerge/>
            <w:tcBorders>
              <w:top w:val="nil"/>
              <w:left w:val="single" w:sz="4" w:space="0" w:color="auto"/>
              <w:bottom w:val="single" w:sz="4" w:space="0" w:color="auto"/>
              <w:right w:val="single" w:sz="4" w:space="0" w:color="auto"/>
            </w:tcBorders>
            <w:vAlign w:val="center"/>
          </w:tcPr>
          <w:p w:rsidR="005014BD" w:rsidRPr="005014BD" w:rsidRDefault="005014BD" w:rsidP="005014BD">
            <w:pPr>
              <w:rPr>
                <w:sz w:val="26"/>
                <w:szCs w:val="26"/>
              </w:rPr>
            </w:pPr>
          </w:p>
        </w:tc>
        <w:tc>
          <w:tcPr>
            <w:tcW w:w="4466" w:type="dxa"/>
            <w:vMerge/>
            <w:tcBorders>
              <w:top w:val="nil"/>
              <w:left w:val="single" w:sz="4" w:space="0" w:color="auto"/>
              <w:bottom w:val="single" w:sz="4" w:space="0" w:color="auto"/>
              <w:right w:val="single" w:sz="4" w:space="0" w:color="auto"/>
            </w:tcBorders>
            <w:vAlign w:val="center"/>
          </w:tcPr>
          <w:p w:rsidR="005014BD" w:rsidRPr="005014BD" w:rsidRDefault="005014BD" w:rsidP="005014BD">
            <w:pPr>
              <w:rPr>
                <w:sz w:val="26"/>
                <w:szCs w:val="26"/>
              </w:rPr>
            </w:pPr>
          </w:p>
        </w:tc>
        <w:tc>
          <w:tcPr>
            <w:tcW w:w="4810" w:type="dxa"/>
            <w:vMerge/>
            <w:tcBorders>
              <w:top w:val="nil"/>
              <w:left w:val="single" w:sz="4" w:space="0" w:color="auto"/>
              <w:bottom w:val="single" w:sz="4" w:space="0" w:color="auto"/>
              <w:right w:val="single" w:sz="4" w:space="0" w:color="auto"/>
            </w:tcBorders>
            <w:vAlign w:val="center"/>
          </w:tcPr>
          <w:p w:rsidR="005014BD" w:rsidRPr="005014BD" w:rsidRDefault="005014BD" w:rsidP="005014BD">
            <w:pPr>
              <w:rPr>
                <w:sz w:val="26"/>
                <w:szCs w:val="26"/>
              </w:rPr>
            </w:pPr>
          </w:p>
        </w:tc>
      </w:tr>
      <w:tr w:rsidR="005014BD" w:rsidRPr="00505BE9" w:rsidTr="00FC4BD1">
        <w:trPr>
          <w:trHeight w:val="79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11</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mua các ấn phẩm, sách báo, tạp chí phục vụ công tác nghiên cứu về cải cách hành chính</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Căn cứ vào hóa đơn, chứng từ chi tiêu hợp pháp</w:t>
            </w:r>
          </w:p>
        </w:tc>
      </w:tr>
      <w:tr w:rsidR="005014BD" w:rsidRPr="00505BE9" w:rsidTr="00FC4BD1">
        <w:trPr>
          <w:trHeight w:val="157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12</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dịch tài liệu</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Quyết định số 32/2010/QĐ-UBND ngày 06/10/2010 của UBND thành phố Đà Nẵng về ban hành định mức chi tiêu trong việc đón tiếp khách nước ngoài, tổ chức các hội nghị, hội thảo quốc tế và tiếp khách trong nước trên địa bàn thành phố</w:t>
            </w:r>
          </w:p>
        </w:tc>
      </w:tr>
      <w:tr w:rsidR="005014BD" w:rsidRPr="00505BE9" w:rsidTr="00FC4BD1">
        <w:trPr>
          <w:trHeight w:val="840"/>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13</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khen thưởng cho các tập thể, cá nhân cán bộ, công chức có thành tích trong hoạt động cải cách hành chính</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Theo quy định hiện hành về chế độ khen thưởng</w:t>
            </w:r>
          </w:p>
        </w:tc>
      </w:tr>
      <w:tr w:rsidR="005014BD" w:rsidRPr="00505BE9" w:rsidTr="00FC4BD1">
        <w:trPr>
          <w:trHeight w:val="810"/>
        </w:trPr>
        <w:tc>
          <w:tcPr>
            <w:tcW w:w="648" w:type="dxa"/>
            <w:tcBorders>
              <w:top w:val="single" w:sz="4" w:space="0" w:color="auto"/>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lastRenderedPageBreak/>
              <w:t>14</w:t>
            </w:r>
          </w:p>
        </w:tc>
        <w:tc>
          <w:tcPr>
            <w:tcW w:w="4466" w:type="dxa"/>
            <w:tcBorders>
              <w:top w:val="single" w:sz="4" w:space="0" w:color="auto"/>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Một số khoản chi khác phục vụ công tác cải cách hành chính</w:t>
            </w:r>
          </w:p>
        </w:tc>
        <w:tc>
          <w:tcPr>
            <w:tcW w:w="4810" w:type="dxa"/>
            <w:tcBorders>
              <w:top w:val="single" w:sz="4" w:space="0" w:color="auto"/>
              <w:left w:val="nil"/>
              <w:bottom w:val="single" w:sz="4" w:space="0" w:color="auto"/>
              <w:right w:val="single" w:sz="4" w:space="0" w:color="auto"/>
            </w:tcBorders>
            <w:shd w:val="clear" w:color="auto" w:fill="auto"/>
            <w:noWrap/>
            <w:vAlign w:val="center"/>
          </w:tcPr>
          <w:p w:rsidR="005014BD" w:rsidRPr="005014BD" w:rsidRDefault="005014BD" w:rsidP="005014BD">
            <w:pPr>
              <w:jc w:val="both"/>
              <w:rPr>
                <w:sz w:val="26"/>
                <w:szCs w:val="26"/>
              </w:rPr>
            </w:pPr>
            <w:r w:rsidRPr="005014BD">
              <w:rPr>
                <w:sz w:val="26"/>
                <w:szCs w:val="26"/>
              </w:rPr>
              <w:t> </w:t>
            </w:r>
          </w:p>
        </w:tc>
      </w:tr>
      <w:tr w:rsidR="005014BD" w:rsidRPr="00505BE9" w:rsidTr="00FC4BD1">
        <w:trPr>
          <w:trHeight w:val="139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a</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làm thêm giờ</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Áp dụng mức chi tại Thông tư Liên tịch số 08/2005/TTLT-BNV-BTC ngày 5/1/2005 của Bộ Nội vụ, Bộ Tài chính hướng dẫn thực hiện chế độ trả lương làm việc vào ban đêm, làm thêm giờ đối với cán bộ công chức, viên chức</w:t>
            </w:r>
          </w:p>
        </w:tc>
      </w:tr>
      <w:tr w:rsidR="005014BD" w:rsidRPr="00505BE9" w:rsidTr="00FC4BD1">
        <w:trPr>
          <w:trHeight w:val="103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b</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Chi mua văn phòng phẩm, vật tư, trang thiết bị và các chi phí khác phục vụ trực tiếp thực hiện nhiệm vụ cải cách hành chính</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Căn cứ vào hóa đơn, chứng từ chi tiêu hợp pháp</w:t>
            </w:r>
          </w:p>
        </w:tc>
      </w:tr>
      <w:tr w:rsidR="005014BD" w:rsidRPr="00505BE9" w:rsidTr="00FC4BD1">
        <w:trPr>
          <w:trHeight w:val="420"/>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14BD" w:rsidRDefault="005014BD" w:rsidP="005014BD">
            <w:pPr>
              <w:jc w:val="center"/>
              <w:rPr>
                <w:sz w:val="26"/>
                <w:szCs w:val="26"/>
              </w:rPr>
            </w:pPr>
            <w:r w:rsidRPr="005014BD">
              <w:rPr>
                <w:sz w:val="26"/>
                <w:szCs w:val="26"/>
              </w:rPr>
              <w:t>c</w:t>
            </w:r>
          </w:p>
        </w:tc>
        <w:tc>
          <w:tcPr>
            <w:tcW w:w="4466"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Một số khoản chi khác</w:t>
            </w:r>
          </w:p>
        </w:tc>
        <w:tc>
          <w:tcPr>
            <w:tcW w:w="4810" w:type="dxa"/>
            <w:tcBorders>
              <w:top w:val="nil"/>
              <w:left w:val="nil"/>
              <w:bottom w:val="single" w:sz="4" w:space="0" w:color="auto"/>
              <w:right w:val="single" w:sz="4" w:space="0" w:color="auto"/>
            </w:tcBorders>
            <w:shd w:val="clear" w:color="auto" w:fill="FFFFFF"/>
            <w:vAlign w:val="center"/>
          </w:tcPr>
          <w:p w:rsidR="005014BD" w:rsidRPr="005014BD" w:rsidRDefault="005014BD" w:rsidP="005014BD">
            <w:pPr>
              <w:jc w:val="both"/>
              <w:rPr>
                <w:sz w:val="26"/>
                <w:szCs w:val="26"/>
              </w:rPr>
            </w:pPr>
            <w:r w:rsidRPr="005014BD">
              <w:rPr>
                <w:sz w:val="26"/>
                <w:szCs w:val="26"/>
              </w:rPr>
              <w:t>Căn cứ vào hóa đơn, chứng từ chi tiêu hợp pháp</w:t>
            </w:r>
          </w:p>
        </w:tc>
      </w:tr>
      <w:tr w:rsidR="005014BD" w:rsidRPr="00505BE9" w:rsidTr="00FC4BD1">
        <w:trPr>
          <w:trHeight w:val="315"/>
        </w:trPr>
        <w:tc>
          <w:tcPr>
            <w:tcW w:w="648" w:type="dxa"/>
            <w:tcBorders>
              <w:top w:val="nil"/>
              <w:left w:val="single" w:sz="4" w:space="0" w:color="auto"/>
              <w:bottom w:val="single" w:sz="4" w:space="0" w:color="auto"/>
              <w:right w:val="single" w:sz="4" w:space="0" w:color="auto"/>
            </w:tcBorders>
            <w:shd w:val="clear" w:color="auto" w:fill="FFFFFF"/>
            <w:vAlign w:val="center"/>
          </w:tcPr>
          <w:p w:rsidR="005014BD" w:rsidRPr="00505BE9" w:rsidRDefault="005014BD" w:rsidP="005014BD">
            <w:pPr>
              <w:jc w:val="center"/>
            </w:pPr>
            <w:r>
              <w:t> </w:t>
            </w:r>
          </w:p>
        </w:tc>
        <w:tc>
          <w:tcPr>
            <w:tcW w:w="4466" w:type="dxa"/>
            <w:tcBorders>
              <w:top w:val="nil"/>
              <w:left w:val="nil"/>
              <w:bottom w:val="single" w:sz="4" w:space="0" w:color="auto"/>
              <w:right w:val="single" w:sz="4" w:space="0" w:color="auto"/>
            </w:tcBorders>
            <w:shd w:val="clear" w:color="auto" w:fill="FFFFFF"/>
            <w:vAlign w:val="center"/>
          </w:tcPr>
          <w:p w:rsidR="005014BD" w:rsidRPr="00505BE9" w:rsidRDefault="005014BD" w:rsidP="005014BD">
            <w:pPr>
              <w:jc w:val="both"/>
            </w:pPr>
            <w:r>
              <w:t> </w:t>
            </w:r>
          </w:p>
        </w:tc>
        <w:tc>
          <w:tcPr>
            <w:tcW w:w="4810" w:type="dxa"/>
            <w:tcBorders>
              <w:top w:val="nil"/>
              <w:left w:val="nil"/>
              <w:bottom w:val="single" w:sz="4" w:space="0" w:color="auto"/>
              <w:right w:val="single" w:sz="4" w:space="0" w:color="auto"/>
            </w:tcBorders>
            <w:shd w:val="clear" w:color="auto" w:fill="auto"/>
            <w:noWrap/>
            <w:vAlign w:val="center"/>
          </w:tcPr>
          <w:p w:rsidR="005014BD" w:rsidRPr="00505BE9" w:rsidRDefault="005014BD" w:rsidP="005014BD">
            <w:pPr>
              <w:jc w:val="both"/>
            </w:pPr>
            <w:r>
              <w:t> </w:t>
            </w:r>
          </w:p>
        </w:tc>
      </w:tr>
    </w:tbl>
    <w:p w:rsidR="005014BD" w:rsidRDefault="005014BD" w:rsidP="00840C8D">
      <w:pPr>
        <w:rPr>
          <w:sz w:val="20"/>
        </w:rPr>
      </w:pPr>
    </w:p>
    <w:p w:rsidR="005014BD" w:rsidRDefault="005014BD" w:rsidP="00840C8D">
      <w:pPr>
        <w:rPr>
          <w:sz w:val="20"/>
        </w:rPr>
      </w:pPr>
    </w:p>
    <w:p w:rsidR="005014BD" w:rsidRDefault="005014BD" w:rsidP="00840C8D">
      <w:pPr>
        <w:rPr>
          <w:sz w:val="20"/>
        </w:rPr>
      </w:pPr>
    </w:p>
    <w:p w:rsidR="005014BD" w:rsidRDefault="005014BD" w:rsidP="00840C8D">
      <w:pPr>
        <w:rPr>
          <w:sz w:val="20"/>
        </w:rPr>
      </w:pPr>
    </w:p>
    <w:p w:rsidR="00840C8D" w:rsidRDefault="00840C8D" w:rsidP="00840C8D">
      <w:pPr>
        <w:rPr>
          <w:sz w:val="20"/>
        </w:rPr>
      </w:pPr>
    </w:p>
    <w:p w:rsidR="00840C8D" w:rsidRDefault="00840C8D" w:rsidP="00840C8D">
      <w:pPr>
        <w:rPr>
          <w:sz w:val="20"/>
        </w:rPr>
      </w:pPr>
    </w:p>
    <w:p w:rsidR="00840C8D" w:rsidRDefault="00840C8D" w:rsidP="00840C8D">
      <w:pPr>
        <w:rPr>
          <w:sz w:val="20"/>
        </w:rPr>
      </w:pPr>
    </w:p>
    <w:p w:rsidR="008759C8" w:rsidRDefault="008759C8"/>
    <w:sectPr w:rsidR="008759C8" w:rsidSect="005014BD">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86" w:rsidRDefault="00C36686">
      <w:r>
        <w:separator/>
      </w:r>
    </w:p>
  </w:endnote>
  <w:endnote w:type="continuationSeparator" w:id="0">
    <w:p w:rsidR="00C36686" w:rsidRDefault="00C3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86" w:rsidRDefault="00C36686">
      <w:r>
        <w:separator/>
      </w:r>
    </w:p>
  </w:footnote>
  <w:footnote w:type="continuationSeparator" w:id="0">
    <w:p w:rsidR="00C36686" w:rsidRDefault="00C36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8D"/>
    <w:rsid w:val="0001092D"/>
    <w:rsid w:val="00024258"/>
    <w:rsid w:val="00024A94"/>
    <w:rsid w:val="000C429E"/>
    <w:rsid w:val="000E6C72"/>
    <w:rsid w:val="00146D5B"/>
    <w:rsid w:val="00151ADA"/>
    <w:rsid w:val="001C1853"/>
    <w:rsid w:val="00204B8C"/>
    <w:rsid w:val="002432CF"/>
    <w:rsid w:val="002B38EE"/>
    <w:rsid w:val="00333FB6"/>
    <w:rsid w:val="00342217"/>
    <w:rsid w:val="0036362F"/>
    <w:rsid w:val="00377182"/>
    <w:rsid w:val="00397F95"/>
    <w:rsid w:val="003A0F6D"/>
    <w:rsid w:val="0043239A"/>
    <w:rsid w:val="004726EB"/>
    <w:rsid w:val="004837A1"/>
    <w:rsid w:val="004E2877"/>
    <w:rsid w:val="005014BD"/>
    <w:rsid w:val="00505BE9"/>
    <w:rsid w:val="0054471B"/>
    <w:rsid w:val="005F30D1"/>
    <w:rsid w:val="005F7B52"/>
    <w:rsid w:val="00646756"/>
    <w:rsid w:val="006D0446"/>
    <w:rsid w:val="00726B92"/>
    <w:rsid w:val="007825F6"/>
    <w:rsid w:val="007C545F"/>
    <w:rsid w:val="00811BEC"/>
    <w:rsid w:val="00840C8D"/>
    <w:rsid w:val="00846B4F"/>
    <w:rsid w:val="008759C8"/>
    <w:rsid w:val="00894321"/>
    <w:rsid w:val="008B0364"/>
    <w:rsid w:val="008E4E8E"/>
    <w:rsid w:val="008E4F7A"/>
    <w:rsid w:val="00907DAD"/>
    <w:rsid w:val="00912C34"/>
    <w:rsid w:val="00973407"/>
    <w:rsid w:val="009A3FCB"/>
    <w:rsid w:val="009A6D1F"/>
    <w:rsid w:val="009B6261"/>
    <w:rsid w:val="009B640C"/>
    <w:rsid w:val="009C7E05"/>
    <w:rsid w:val="009D3A19"/>
    <w:rsid w:val="009E3BA9"/>
    <w:rsid w:val="00A702D8"/>
    <w:rsid w:val="00AA1948"/>
    <w:rsid w:val="00AB256F"/>
    <w:rsid w:val="00B04C70"/>
    <w:rsid w:val="00B05E5C"/>
    <w:rsid w:val="00B150D2"/>
    <w:rsid w:val="00B2557D"/>
    <w:rsid w:val="00B62FE2"/>
    <w:rsid w:val="00BB5235"/>
    <w:rsid w:val="00BD1504"/>
    <w:rsid w:val="00BF6CA6"/>
    <w:rsid w:val="00C00578"/>
    <w:rsid w:val="00C046EA"/>
    <w:rsid w:val="00C36686"/>
    <w:rsid w:val="00C84160"/>
    <w:rsid w:val="00CC4600"/>
    <w:rsid w:val="00CD5372"/>
    <w:rsid w:val="00CF238E"/>
    <w:rsid w:val="00CF640F"/>
    <w:rsid w:val="00D0276C"/>
    <w:rsid w:val="00D41756"/>
    <w:rsid w:val="00E30CB1"/>
    <w:rsid w:val="00EC7771"/>
    <w:rsid w:val="00F87965"/>
    <w:rsid w:val="00F90C10"/>
    <w:rsid w:val="00FC4BD1"/>
    <w:rsid w:val="00FC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78D095-89D0-4EAD-AA20-1844B63F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0C8D"/>
    <w:rPr>
      <w:i/>
      <w:iCs/>
      <w:sz w:val="28"/>
      <w:szCs w:val="28"/>
    </w:rPr>
  </w:style>
  <w:style w:type="character" w:customStyle="1" w:styleId="BodyTextChar">
    <w:name w:val="Body Text Char"/>
    <w:basedOn w:val="DefaultParagraphFont"/>
    <w:link w:val="BodyText"/>
    <w:rsid w:val="00840C8D"/>
    <w:rPr>
      <w:rFonts w:ascii="Times New Roman" w:eastAsia="Times New Roman" w:hAnsi="Times New Roman" w:cs="Times New Roman"/>
      <w:i/>
      <w:iCs/>
      <w:sz w:val="28"/>
      <w:szCs w:val="28"/>
    </w:rPr>
  </w:style>
  <w:style w:type="paragraph" w:styleId="Footer">
    <w:name w:val="footer"/>
    <w:basedOn w:val="Normal"/>
    <w:link w:val="FooterChar"/>
    <w:uiPriority w:val="99"/>
    <w:unhideWhenUsed/>
    <w:rsid w:val="00840C8D"/>
    <w:pPr>
      <w:tabs>
        <w:tab w:val="center" w:pos="4680"/>
        <w:tab w:val="right" w:pos="9360"/>
      </w:tabs>
    </w:pPr>
  </w:style>
  <w:style w:type="character" w:customStyle="1" w:styleId="FooterChar">
    <w:name w:val="Footer Char"/>
    <w:basedOn w:val="DefaultParagraphFont"/>
    <w:link w:val="Footer"/>
    <w:uiPriority w:val="99"/>
    <w:rsid w:val="00840C8D"/>
    <w:rPr>
      <w:rFonts w:ascii="Times New Roman" w:eastAsia="Times New Roman" w:hAnsi="Times New Roman" w:cs="Times New Roman"/>
      <w:sz w:val="24"/>
      <w:szCs w:val="24"/>
    </w:rPr>
  </w:style>
  <w:style w:type="paragraph" w:styleId="Header">
    <w:name w:val="header"/>
    <w:basedOn w:val="Normal"/>
    <w:rsid w:val="005014B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2013-07-31T01:33:00Z</cp:lastPrinted>
  <dcterms:created xsi:type="dcterms:W3CDTF">2021-04-20T06:51:00Z</dcterms:created>
  <dcterms:modified xsi:type="dcterms:W3CDTF">2021-04-20T06:51:00Z</dcterms:modified>
</cp:coreProperties>
</file>