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79" w:rsidRPr="004C2084" w:rsidRDefault="005D2F8F" w:rsidP="00136C79">
      <w:pPr>
        <w:ind w:right="-360"/>
        <w:rPr>
          <w:b/>
          <w:sz w:val="26"/>
        </w:rPr>
      </w:pPr>
      <w:bookmarkStart w:id="0" w:name="_GoBack"/>
      <w:bookmarkEnd w:id="0"/>
      <w:r w:rsidRPr="004C2084">
        <w:rPr>
          <w:b/>
          <w:sz w:val="26"/>
        </w:rPr>
        <w:t xml:space="preserve">    </w:t>
      </w:r>
      <w:r w:rsidR="00136C79" w:rsidRPr="004C2084">
        <w:rPr>
          <w:b/>
          <w:sz w:val="26"/>
        </w:rPr>
        <w:t xml:space="preserve">ỦY BAN NHÂN DÂN        </w:t>
      </w:r>
      <w:r w:rsidR="00312F81" w:rsidRPr="004C2084">
        <w:rPr>
          <w:b/>
          <w:sz w:val="26"/>
        </w:rPr>
        <w:t xml:space="preserve">       </w:t>
      </w:r>
      <w:r w:rsidR="00136C79" w:rsidRPr="004C2084">
        <w:rPr>
          <w:b/>
          <w:sz w:val="26"/>
        </w:rPr>
        <w:t xml:space="preserve"> CỘNG HÒA XÃ HỘI CHỦ NGHĨA VIỆT </w:t>
      </w:r>
      <w:smartTag w:uri="urn:schemas-microsoft-com:office:smarttags" w:element="country-region">
        <w:smartTag w:uri="urn:schemas-microsoft-com:office:smarttags" w:element="place">
          <w:r w:rsidR="00136C79" w:rsidRPr="004C2084">
            <w:rPr>
              <w:b/>
              <w:sz w:val="26"/>
            </w:rPr>
            <w:t>NAM</w:t>
          </w:r>
        </w:smartTag>
      </w:smartTag>
    </w:p>
    <w:p w:rsidR="00136C79" w:rsidRPr="004C2084" w:rsidRDefault="00136C79" w:rsidP="00136C79">
      <w:pPr>
        <w:rPr>
          <w:b/>
          <w:sz w:val="28"/>
        </w:rPr>
      </w:pPr>
      <w:r w:rsidRPr="004C2084">
        <w:rPr>
          <w:b/>
          <w:sz w:val="26"/>
        </w:rPr>
        <w:t>THÀNH PHỐ ĐÀ NẴNG</w:t>
      </w:r>
      <w:r w:rsidRPr="004C2084">
        <w:rPr>
          <w:b/>
        </w:rPr>
        <w:t xml:space="preserve">                           </w:t>
      </w:r>
      <w:r w:rsidR="00312F81" w:rsidRPr="004C2084">
        <w:rPr>
          <w:b/>
        </w:rPr>
        <w:t xml:space="preserve">     </w:t>
      </w:r>
      <w:r w:rsidRPr="004C2084">
        <w:rPr>
          <w:b/>
          <w:sz w:val="28"/>
        </w:rPr>
        <w:t>Độc lập - Tự do - Hạnh phúc</w:t>
      </w:r>
    </w:p>
    <w:p w:rsidR="00136C79" w:rsidRPr="004C2084" w:rsidRDefault="0008753F" w:rsidP="00136C79">
      <w:pPr>
        <w:rPr>
          <w:b/>
          <w:sz w:val="16"/>
          <w:szCs w:val="16"/>
        </w:rPr>
      </w:pPr>
      <w:r w:rsidRPr="004C2084">
        <w:rPr>
          <w:b/>
          <w:noProof/>
          <w:sz w:val="16"/>
          <w:szCs w:val="16"/>
        </w:rPr>
        <mc:AlternateContent>
          <mc:Choice Requires="wps">
            <w:drawing>
              <wp:anchor distT="0" distB="0" distL="114300" distR="114300" simplePos="0" relativeHeight="251657728" behindDoc="0" locked="0" layoutInCell="1" allowOverlap="1">
                <wp:simplePos x="0" y="0"/>
                <wp:positionH relativeFrom="column">
                  <wp:posOffset>3048000</wp:posOffset>
                </wp:positionH>
                <wp:positionV relativeFrom="paragraph">
                  <wp:posOffset>24765</wp:posOffset>
                </wp:positionV>
                <wp:extent cx="2160270" cy="0"/>
                <wp:effectExtent l="9525" t="12065" r="1143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4AA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95pt" to="410.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E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om6ajJxCN9r6EFH2isc5/5rpFwSixBM4RmJy2zgcipOhDwj1Kb4SU&#10;UWypUFfi+WQ0iQlOS8GCM4Q5e9ivpEUnEsYlfrEq8DyGWX1ULII1nLD1zfZEyKsNl0sV8KAUoHOz&#10;rvPwY57O17P1LB/ko+l6kKdVNfi0WeWD6SZ7mlTjarWqsp+BWpYXjWCMq8Cun80s/zvtb6/kOlX3&#10;6by3IXmPHvsFZPt/JB21DPJdB2Gv2WVne41hHGPw7emEeX/cg/34wJe/AAAA//8DAFBLAwQUAAYA&#10;CAAAACEAxEOgD9wAAAAHAQAADwAAAGRycy9kb3ducmV2LnhtbEyPwU7DMBBE70j9B2srcalauylC&#10;IcSpKiA3LhRQr9t4SSLidRq7beDrMb3AcTSjmTf5erSdONHgW8calgsFgrhypuVaw9trOU9B+IBs&#10;sHNMGr7Iw7qYXOWYGXfmFzptQy1iCfsMNTQh9JmUvmrIol+4njh6H26wGKIcamkGPMdy28lEqVtp&#10;seW40GBPDw1Vn9uj1eDLdzqU37Nqpnar2lFyeHx+Qq2vp+PmHkSgMfyF4Rc/okMRmfbuyMaLTsNN&#10;quKXoGF1ByL6aaISEPuLlkUu//MXPwAAAP//AwBQSwECLQAUAAYACAAAACEAtoM4kv4AAADhAQAA&#10;EwAAAAAAAAAAAAAAAAAAAAAAW0NvbnRlbnRfVHlwZXNdLnhtbFBLAQItABQABgAIAAAAIQA4/SH/&#10;1gAAAJQBAAALAAAAAAAAAAAAAAAAAC8BAABfcmVscy8ucmVsc1BLAQItABQABgAIAAAAIQBEWeE2&#10;EgIAACgEAAAOAAAAAAAAAAAAAAAAAC4CAABkcnMvZTJvRG9jLnhtbFBLAQItABQABgAIAAAAIQDE&#10;Q6AP3AAAAAcBAAAPAAAAAAAAAAAAAAAAAGwEAABkcnMvZG93bnJldi54bWxQSwUGAAAAAAQABADz&#10;AAAAdQUAAAAA&#10;"/>
            </w:pict>
          </mc:Fallback>
        </mc:AlternateContent>
      </w:r>
      <w:r w:rsidRPr="004C2084">
        <w:rPr>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236220</wp:posOffset>
                </wp:positionH>
                <wp:positionV relativeFrom="paragraph">
                  <wp:posOffset>24765</wp:posOffset>
                </wp:positionV>
                <wp:extent cx="1320800" cy="0"/>
                <wp:effectExtent l="7620" t="12065" r="508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77AA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95pt" to="122.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Q7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5ek8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LYnA2doAAAAGAQAADwAAAGRycy9kb3ducmV2LnhtbEyOy07DMBBF90j8gzVIbCrqkPIM&#10;cSoEzY4NBcR2Gg9JRDxOY7dN+Xqm3cBqdHSv7px8PrpObWkIrWcDl9MEFHHlbcu1gfe38uIOVIjI&#10;FjvPZGBPAebF6UmOmfU7fqXtMtZKRjhkaKCJsc+0DlVDDsPU98SSffnBYRQcam0H3Mm463SaJDfa&#10;YcvyocGenhqqvpcbZyCUH7QufybVJPmc1Z7S9fPLAo05PxsfH0BFGuNfGQ76og6FOK38hm1QnYHZ&#10;bSpNufegJE6vroVXR9ZFrv/rF78AAAD//wMAUEsBAi0AFAAGAAgAAAAhALaDOJL+AAAA4QEAABMA&#10;AAAAAAAAAAAAAAAAAAAAAFtDb250ZW50X1R5cGVzXS54bWxQSwECLQAUAAYACAAAACEAOP0h/9YA&#10;AACUAQAACwAAAAAAAAAAAAAAAAAvAQAAX3JlbHMvLnJlbHNQSwECLQAUAAYACAAAACEARdAkOxIC&#10;AAAoBAAADgAAAAAAAAAAAAAAAAAuAgAAZHJzL2Uyb0RvYy54bWxQSwECLQAUAAYACAAAACEALYnA&#10;2doAAAAGAQAADwAAAAAAAAAAAAAAAABsBAAAZHJzL2Rvd25yZXYueG1sUEsFBgAAAAAEAAQA8wAA&#10;AHMFAAAAAA==&#10;"/>
            </w:pict>
          </mc:Fallback>
        </mc:AlternateContent>
      </w:r>
      <w:r w:rsidR="00136C79" w:rsidRPr="004C2084">
        <w:rPr>
          <w:b/>
          <w:sz w:val="16"/>
          <w:szCs w:val="16"/>
        </w:rPr>
        <w:t xml:space="preserve">   </w:t>
      </w:r>
    </w:p>
    <w:p w:rsidR="00136C79" w:rsidRPr="004C2084" w:rsidRDefault="008D49E3" w:rsidP="00C43251">
      <w:pPr>
        <w:rPr>
          <w:i/>
          <w:sz w:val="28"/>
        </w:rPr>
      </w:pPr>
      <w:r w:rsidRPr="004C2084">
        <w:rPr>
          <w:sz w:val="28"/>
        </w:rPr>
        <w:t xml:space="preserve"> Số:</w:t>
      </w:r>
      <w:r w:rsidR="0037120D" w:rsidRPr="004C2084">
        <w:rPr>
          <w:sz w:val="28"/>
        </w:rPr>
        <w:t xml:space="preserve"> </w:t>
      </w:r>
      <w:r w:rsidR="00633B03">
        <w:rPr>
          <w:sz w:val="28"/>
        </w:rPr>
        <w:t>45</w:t>
      </w:r>
      <w:r w:rsidR="00E62D81" w:rsidRPr="004C2084">
        <w:rPr>
          <w:sz w:val="28"/>
        </w:rPr>
        <w:t>/</w:t>
      </w:r>
      <w:r w:rsidR="003A45E4" w:rsidRPr="004C2084">
        <w:rPr>
          <w:sz w:val="28"/>
        </w:rPr>
        <w:t>2013/</w:t>
      </w:r>
      <w:r w:rsidR="00136C79" w:rsidRPr="004C2084">
        <w:rPr>
          <w:sz w:val="28"/>
        </w:rPr>
        <w:t xml:space="preserve">QĐ-UBND                  </w:t>
      </w:r>
      <w:r w:rsidRPr="004C2084">
        <w:rPr>
          <w:sz w:val="28"/>
        </w:rPr>
        <w:t xml:space="preserve">     </w:t>
      </w:r>
      <w:r w:rsidR="0037120D" w:rsidRPr="004C2084">
        <w:rPr>
          <w:sz w:val="28"/>
        </w:rPr>
        <w:t xml:space="preserve"> </w:t>
      </w:r>
      <w:r w:rsidR="009D5468" w:rsidRPr="004C2084">
        <w:rPr>
          <w:i/>
          <w:sz w:val="28"/>
        </w:rPr>
        <w:t xml:space="preserve">Đà Nẵng, ngày </w:t>
      </w:r>
      <w:r w:rsidR="00134CB4">
        <w:rPr>
          <w:i/>
          <w:sz w:val="28"/>
        </w:rPr>
        <w:t xml:space="preserve">30 </w:t>
      </w:r>
      <w:r w:rsidR="009D5468" w:rsidRPr="004C2084">
        <w:rPr>
          <w:i/>
          <w:sz w:val="28"/>
        </w:rPr>
        <w:t xml:space="preserve"> tháng 12 </w:t>
      </w:r>
      <w:r w:rsidR="00136C79" w:rsidRPr="004C2084">
        <w:rPr>
          <w:i/>
          <w:sz w:val="28"/>
        </w:rPr>
        <w:t xml:space="preserve">năm 2013                                                                                                                                                                                                                                                                                                                                                                                                                                                                                                                                                                                                                                                                                                                                                                                                                                                                                                                                                                                                                                                                                                                                                                                                                                                                                                                                                                                                                                                                                                                                                                                                                                                                                                                                                                                                                                                                                                                                                                                                                                                                                                                                                                                                                                                                                                                                                                                                                                                </w:t>
      </w:r>
    </w:p>
    <w:p w:rsidR="00136C79" w:rsidRPr="004C2084" w:rsidRDefault="00136C79" w:rsidP="00136C79">
      <w:pPr>
        <w:rPr>
          <w:i/>
          <w:sz w:val="8"/>
          <w:szCs w:val="20"/>
        </w:rPr>
      </w:pPr>
    </w:p>
    <w:p w:rsidR="00136C79" w:rsidRPr="004C2084" w:rsidRDefault="005D2F8F" w:rsidP="000652B9">
      <w:pPr>
        <w:spacing w:before="120"/>
        <w:jc w:val="center"/>
        <w:rPr>
          <w:b/>
          <w:sz w:val="28"/>
        </w:rPr>
      </w:pPr>
      <w:r w:rsidRPr="004C2084">
        <w:rPr>
          <w:b/>
          <w:sz w:val="28"/>
        </w:rPr>
        <w:t xml:space="preserve">QUYẾT ĐỊNH </w:t>
      </w:r>
    </w:p>
    <w:p w:rsidR="005D2F8F" w:rsidRPr="004C2084" w:rsidRDefault="00812C9D" w:rsidP="00136C79">
      <w:pPr>
        <w:pStyle w:val="BodyText2"/>
        <w:rPr>
          <w:szCs w:val="28"/>
        </w:rPr>
      </w:pPr>
      <w:r w:rsidRPr="004C2084">
        <w:rPr>
          <w:szCs w:val="28"/>
        </w:rPr>
        <w:t>Về việc quy</w:t>
      </w:r>
      <w:r w:rsidR="005D2F8F" w:rsidRPr="004C2084">
        <w:rPr>
          <w:szCs w:val="28"/>
        </w:rPr>
        <w:t xml:space="preserve"> định đơn giá cho thuê nhà thuộc sở hữu nhà nước </w:t>
      </w:r>
    </w:p>
    <w:p w:rsidR="00136C79" w:rsidRPr="004C2084" w:rsidRDefault="005D2F8F" w:rsidP="00136C79">
      <w:pPr>
        <w:pStyle w:val="BodyText2"/>
        <w:rPr>
          <w:szCs w:val="28"/>
        </w:rPr>
      </w:pPr>
      <w:r w:rsidRPr="004C2084">
        <w:rPr>
          <w:szCs w:val="28"/>
        </w:rPr>
        <w:t>chưa được cải tạo, xây dựng lại trên địa bàn thành phố Đà Nẵng</w:t>
      </w:r>
    </w:p>
    <w:p w:rsidR="00136C79" w:rsidRPr="004C2084" w:rsidRDefault="0008753F" w:rsidP="000652B9">
      <w:pPr>
        <w:pStyle w:val="Heading2"/>
        <w:spacing w:before="240" w:after="120"/>
        <w:rPr>
          <w:rFonts w:ascii="Times New Roman" w:hAnsi="Times New Roman"/>
        </w:rPr>
      </w:pPr>
      <w:r w:rsidRPr="004C2084">
        <w:rPr>
          <w:rFonts w:ascii="Times New Roman" w:hAnsi="Times New Roman"/>
          <w:noProof/>
          <w:sz w:val="20"/>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46355</wp:posOffset>
                </wp:positionV>
                <wp:extent cx="2052320" cy="0"/>
                <wp:effectExtent l="9525" t="7620" r="508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EAC7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65pt" to="329.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9A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CpCZ3rjSghYqZ0NtdGzejFbTb87pPSqJerAI8PXi4G0LGQkb1LCxhnA3/efNYMYcvQ6tunc&#10;2C5AQgPQOapxuavBzx5ROMzTSf6Ug2h08CWkHBKNdf4T1x0KRoUlcI7A5LR1PhAh5RAS7lF6I6SM&#10;YkuF+grPJ/kkJjgtBQvOEObsYb+SFp1IGJf4xarA8xhm9VGxCNZywtY32xMhrzZcLlXAg1KAzs26&#10;zsOPeTpfz9azYlTk0/WoSOt69HGzKkbTTfZhUj/Vq1Wd/QzUsqJsBWNcBXbDbGbF32l/eyXXqbpP&#10;570NyVv02C8gO/wj6ahlkO86CHvNLjs7aAzjGINvTyfM++Me7McHvvwFAAD//wMAUEsDBBQABgAI&#10;AAAAIQDDIOt82wAAAAcBAAAPAAAAZHJzL2Rvd25yZXYueG1sTI/BTsMwEETvSPyDtUhcKuqQiAAh&#10;ToWA3LhQQFy38ZJExOs0dtvA17NwgeNoRjNvytXsBrWnKfSeDZwvE1DEjbc9twZenuuzK1AhIlsc&#10;PJOBTwqwqo6PSiysP/AT7dexVVLCoUADXYxjoXVoOnIYln4kFu/dTw6jyKnVdsKDlLtBp0mSa4c9&#10;y0KHI9111Hysd85AqF9pW38tmkXylrWe0u394wMac3oy396AijTHvzD84As6VMK08Tu2QQ0GsiyX&#10;L9HAZQZK/PziOgW1+dW6KvV//uobAAD//wMAUEsBAi0AFAAGAAgAAAAhALaDOJL+AAAA4QEAABMA&#10;AAAAAAAAAAAAAAAAAAAAAFtDb250ZW50X1R5cGVzXS54bWxQSwECLQAUAAYACAAAACEAOP0h/9YA&#10;AACUAQAACwAAAAAAAAAAAAAAAAAvAQAAX3JlbHMvLnJlbHNQSwECLQAUAAYACAAAACEAFmVfQBEC&#10;AAAoBAAADgAAAAAAAAAAAAAAAAAuAgAAZHJzL2Uyb0RvYy54bWxQSwECLQAUAAYACAAAACEAwyDr&#10;fNsAAAAHAQAADwAAAAAAAAAAAAAAAABrBAAAZHJzL2Rvd25yZXYueG1sUEsFBgAAAAAEAAQA8wAA&#10;AHMFAAAAAA==&#10;"/>
            </w:pict>
          </mc:Fallback>
        </mc:AlternateContent>
      </w:r>
      <w:r w:rsidR="00136C79" w:rsidRPr="004C2084">
        <w:rPr>
          <w:rFonts w:ascii="Times New Roman" w:hAnsi="Times New Roman"/>
        </w:rPr>
        <w:t xml:space="preserve"> ỦY BAN NHÂN DÂN </w:t>
      </w:r>
      <w:r w:rsidR="003A45E4" w:rsidRPr="004C2084">
        <w:rPr>
          <w:rFonts w:ascii="Times New Roman" w:hAnsi="Times New Roman"/>
        </w:rPr>
        <w:t>THÀNH PHỐ ĐÀ NẴNG</w:t>
      </w:r>
    </w:p>
    <w:p w:rsidR="00136C79" w:rsidRPr="004C2084" w:rsidRDefault="000652B9" w:rsidP="00136C79">
      <w:pPr>
        <w:jc w:val="both"/>
        <w:rPr>
          <w:sz w:val="28"/>
        </w:rPr>
      </w:pPr>
      <w:r w:rsidRPr="004C2084">
        <w:rPr>
          <w:sz w:val="28"/>
        </w:rPr>
        <w:tab/>
      </w:r>
      <w:r w:rsidR="00136C79" w:rsidRPr="004C2084">
        <w:rPr>
          <w:sz w:val="28"/>
        </w:rPr>
        <w:t xml:space="preserve">Căn cứ Luật tổ chức </w:t>
      </w:r>
      <w:r w:rsidRPr="004C2084">
        <w:rPr>
          <w:sz w:val="28"/>
        </w:rPr>
        <w:t>HĐND</w:t>
      </w:r>
      <w:r w:rsidR="00136C79" w:rsidRPr="004C2084">
        <w:rPr>
          <w:sz w:val="28"/>
        </w:rPr>
        <w:t xml:space="preserve"> và </w:t>
      </w:r>
      <w:r w:rsidRPr="004C2084">
        <w:rPr>
          <w:sz w:val="28"/>
        </w:rPr>
        <w:t>UBND</w:t>
      </w:r>
      <w:r w:rsidR="00136C79" w:rsidRPr="004C2084">
        <w:rPr>
          <w:sz w:val="28"/>
        </w:rPr>
        <w:t xml:space="preserve"> ngày 26 tháng 11 năm 2003;</w:t>
      </w:r>
    </w:p>
    <w:p w:rsidR="003A45E4" w:rsidRPr="004C2084" w:rsidRDefault="003A45E4" w:rsidP="00EA1EF5">
      <w:pPr>
        <w:spacing w:before="120" w:after="120"/>
        <w:jc w:val="both"/>
        <w:rPr>
          <w:sz w:val="28"/>
        </w:rPr>
      </w:pPr>
      <w:r w:rsidRPr="004C2084">
        <w:rPr>
          <w:sz w:val="28"/>
        </w:rPr>
        <w:tab/>
        <w:t>Căn cứ Luật Giá số 11/2012/QH13 ngày 20 tháng 6 năm 2012;</w:t>
      </w:r>
    </w:p>
    <w:p w:rsidR="005D2F8F" w:rsidRPr="004C2084" w:rsidRDefault="005D2F8F" w:rsidP="00136C79">
      <w:pPr>
        <w:jc w:val="both"/>
        <w:rPr>
          <w:sz w:val="28"/>
        </w:rPr>
      </w:pPr>
      <w:r w:rsidRPr="004C2084">
        <w:rPr>
          <w:sz w:val="28"/>
        </w:rPr>
        <w:tab/>
        <w:t>Căn cứ Quyết định số 17/2008/QĐ-TTg ngày 28 tháng 01 năm 2008 của Thủ tướng Chính phủ về việc bán hành bảng giá chuẩn cho thuê nhà ở thuộc sở hữu nhà nước chưa được cải tạo, xây dựng lại;</w:t>
      </w:r>
    </w:p>
    <w:p w:rsidR="005D2F8F" w:rsidRPr="004C2084" w:rsidRDefault="005D2F8F" w:rsidP="00EA1EF5">
      <w:pPr>
        <w:spacing w:before="120"/>
        <w:jc w:val="both"/>
        <w:rPr>
          <w:sz w:val="28"/>
        </w:rPr>
      </w:pPr>
      <w:r w:rsidRPr="004C2084">
        <w:rPr>
          <w:sz w:val="28"/>
        </w:rPr>
        <w:tab/>
        <w:t>Căn cứ Thông tư số 11/2008/TT-BXD ngày 05 th</w:t>
      </w:r>
      <w:r w:rsidR="001015CB">
        <w:rPr>
          <w:sz w:val="28"/>
        </w:rPr>
        <w:t xml:space="preserve">áng 5 năm 2008 của Bộ Xây dựng </w:t>
      </w:r>
      <w:r w:rsidRPr="004C2084">
        <w:rPr>
          <w:sz w:val="28"/>
        </w:rPr>
        <w:t>hướng dẫn một số nội dung của Quyết định số 17/2008/QĐ-TTg ngày 28 tháng 01 năm 2008 của Thủ tướng Chính phủ về việc ban hành bảng giá chuẩn cho thuê nhà ở thuộc sở hữu nhà nước chưa được cải tạo, xây dựng lại;</w:t>
      </w:r>
    </w:p>
    <w:p w:rsidR="00136C79" w:rsidRPr="004C2084" w:rsidRDefault="00136C79" w:rsidP="00EA1EF5">
      <w:pPr>
        <w:pStyle w:val="BodyTextIndent"/>
      </w:pPr>
      <w:r w:rsidRPr="004C2084">
        <w:t xml:space="preserve">Xét đề nghị </w:t>
      </w:r>
      <w:r w:rsidR="009D5468" w:rsidRPr="004C2084">
        <w:t xml:space="preserve">của </w:t>
      </w:r>
      <w:r w:rsidRPr="004C2084">
        <w:t>Giám đốc Sở Xây dự</w:t>
      </w:r>
      <w:r w:rsidR="009D5468" w:rsidRPr="004C2084">
        <w:t xml:space="preserve">ng tại Tờ trình số 993/TTr-SXD ngày 16 tháng 12 </w:t>
      </w:r>
      <w:r w:rsidRPr="004C2084">
        <w:t>năm 201</w:t>
      </w:r>
      <w:r w:rsidR="006F0B88" w:rsidRPr="004C2084">
        <w:t>3,</w:t>
      </w:r>
      <w:r w:rsidRPr="004C2084">
        <w:t xml:space="preserve">  </w:t>
      </w:r>
    </w:p>
    <w:p w:rsidR="00136C79" w:rsidRPr="004C2084" w:rsidRDefault="00136C79" w:rsidP="000652B9">
      <w:pPr>
        <w:pStyle w:val="BodyText2"/>
        <w:spacing w:after="120"/>
        <w:rPr>
          <w:bCs/>
        </w:rPr>
      </w:pPr>
      <w:r w:rsidRPr="004C2084">
        <w:rPr>
          <w:bCs/>
        </w:rPr>
        <w:t>QUYẾT ĐỊNH:</w:t>
      </w:r>
    </w:p>
    <w:p w:rsidR="00136C79" w:rsidRPr="004C2084" w:rsidRDefault="00136C79" w:rsidP="00136C79">
      <w:pPr>
        <w:spacing w:before="120"/>
        <w:jc w:val="both"/>
        <w:rPr>
          <w:sz w:val="28"/>
        </w:rPr>
      </w:pPr>
      <w:r w:rsidRPr="004C2084">
        <w:rPr>
          <w:b/>
          <w:sz w:val="28"/>
        </w:rPr>
        <w:t xml:space="preserve"> </w:t>
      </w:r>
      <w:r w:rsidRPr="004C2084">
        <w:rPr>
          <w:b/>
          <w:sz w:val="28"/>
        </w:rPr>
        <w:tab/>
        <w:t>Điều 1</w:t>
      </w:r>
      <w:r w:rsidRPr="004C2084">
        <w:rPr>
          <w:sz w:val="28"/>
        </w:rPr>
        <w:t xml:space="preserve">. </w:t>
      </w:r>
      <w:r w:rsidR="0037120D" w:rsidRPr="004C2084">
        <w:rPr>
          <w:sz w:val="28"/>
        </w:rPr>
        <w:t>Nay quy</w:t>
      </w:r>
      <w:r w:rsidR="006F0B88" w:rsidRPr="004C2084">
        <w:rPr>
          <w:sz w:val="28"/>
        </w:rPr>
        <w:t xml:space="preserve"> định đơn giá cho thuê nhà thuộc sở hữu nhà nước chưa được cải tạo, xây dựng lại trên địa bàn thành phố Đà Nẵng (</w:t>
      </w:r>
      <w:r w:rsidR="006F0B88" w:rsidRPr="004C2084">
        <w:rPr>
          <w:i/>
          <w:sz w:val="28"/>
        </w:rPr>
        <w:t>theo bảng giá đính kèm</w:t>
      </w:r>
      <w:r w:rsidR="006F0B88" w:rsidRPr="004C2084">
        <w:rPr>
          <w:sz w:val="28"/>
        </w:rPr>
        <w:t>).</w:t>
      </w:r>
    </w:p>
    <w:p w:rsidR="001A0945" w:rsidRPr="004C2084" w:rsidRDefault="00136C79" w:rsidP="00136C79">
      <w:pPr>
        <w:spacing w:before="120"/>
        <w:jc w:val="both"/>
        <w:rPr>
          <w:sz w:val="28"/>
        </w:rPr>
      </w:pPr>
      <w:r w:rsidRPr="004C2084">
        <w:rPr>
          <w:sz w:val="28"/>
        </w:rPr>
        <w:tab/>
      </w:r>
      <w:r w:rsidRPr="004C2084">
        <w:rPr>
          <w:b/>
          <w:sz w:val="28"/>
        </w:rPr>
        <w:t>Điều 2</w:t>
      </w:r>
      <w:r w:rsidRPr="004C2084">
        <w:rPr>
          <w:sz w:val="28"/>
        </w:rPr>
        <w:t xml:space="preserve">. </w:t>
      </w:r>
      <w:r w:rsidR="00C43251" w:rsidRPr="004C2084">
        <w:rPr>
          <w:sz w:val="28"/>
        </w:rPr>
        <w:t>Xác định cấp, hạng nhà ở,</w:t>
      </w:r>
      <w:r w:rsidR="003A45E4" w:rsidRPr="004C2084">
        <w:rPr>
          <w:sz w:val="28"/>
        </w:rPr>
        <w:t xml:space="preserve"> diện tích sử dụng</w:t>
      </w:r>
      <w:r w:rsidR="00C43251" w:rsidRPr="004C2084">
        <w:rPr>
          <w:sz w:val="28"/>
        </w:rPr>
        <w:t>, vị trí khu vực và điều kiện hạ tầng kỹ thuật:</w:t>
      </w:r>
    </w:p>
    <w:p w:rsidR="003A45E4" w:rsidRPr="004C2084" w:rsidRDefault="00362E11" w:rsidP="00136C79">
      <w:pPr>
        <w:spacing w:before="120"/>
        <w:jc w:val="both"/>
        <w:rPr>
          <w:sz w:val="28"/>
        </w:rPr>
      </w:pPr>
      <w:r w:rsidRPr="004C2084">
        <w:rPr>
          <w:sz w:val="28"/>
        </w:rPr>
        <w:tab/>
        <w:t>1.</w:t>
      </w:r>
      <w:r w:rsidR="00401EB9" w:rsidRPr="004C2084">
        <w:rPr>
          <w:sz w:val="28"/>
        </w:rPr>
        <w:t xml:space="preserve"> </w:t>
      </w:r>
      <w:r w:rsidR="003A45E4" w:rsidRPr="004C2084">
        <w:rPr>
          <w:sz w:val="28"/>
        </w:rPr>
        <w:t>Việc xác định c</w:t>
      </w:r>
      <w:r w:rsidR="001A0945" w:rsidRPr="004C2084">
        <w:rPr>
          <w:sz w:val="28"/>
        </w:rPr>
        <w:t>ấp nhà</w:t>
      </w:r>
      <w:r w:rsidR="003A45E4" w:rsidRPr="004C2084">
        <w:rPr>
          <w:sz w:val="28"/>
        </w:rPr>
        <w:t>, hạng nhà để tính</w:t>
      </w:r>
      <w:r w:rsidR="001A0945" w:rsidRPr="004C2084">
        <w:rPr>
          <w:sz w:val="28"/>
        </w:rPr>
        <w:t xml:space="preserve"> đơn giá cho thuê nhà qui định tại Điều 1 Quyết định này được </w:t>
      </w:r>
      <w:r w:rsidR="00041A6D" w:rsidRPr="004C2084">
        <w:rPr>
          <w:sz w:val="28"/>
        </w:rPr>
        <w:t>thực hiện theo quy định tại Thông tư số 05-BXD/ĐT ngày 09 tháng 02 năm 1993 của Bộ Xây dựng “về việc hướng dẫn phương pháp xác định diện tích sử dụng và phân cấp nhà ở”</w:t>
      </w:r>
      <w:r w:rsidR="003A45E4" w:rsidRPr="004C2084">
        <w:rPr>
          <w:sz w:val="28"/>
        </w:rPr>
        <w:t>.</w:t>
      </w:r>
    </w:p>
    <w:p w:rsidR="00D97AF2" w:rsidRPr="004C2084" w:rsidRDefault="003A45E4" w:rsidP="00136C79">
      <w:pPr>
        <w:spacing w:before="120"/>
        <w:jc w:val="both"/>
        <w:rPr>
          <w:sz w:val="28"/>
        </w:rPr>
      </w:pPr>
      <w:r w:rsidRPr="004C2084">
        <w:rPr>
          <w:sz w:val="28"/>
        </w:rPr>
        <w:tab/>
        <w:t>2</w:t>
      </w:r>
      <w:r w:rsidR="00362E11" w:rsidRPr="004C2084">
        <w:rPr>
          <w:sz w:val="28"/>
        </w:rPr>
        <w:t>.</w:t>
      </w:r>
      <w:r w:rsidR="00401EB9" w:rsidRPr="004C2084">
        <w:rPr>
          <w:sz w:val="28"/>
        </w:rPr>
        <w:t xml:space="preserve"> </w:t>
      </w:r>
      <w:r w:rsidR="00D97AF2" w:rsidRPr="004C2084">
        <w:rPr>
          <w:sz w:val="28"/>
        </w:rPr>
        <w:t>Diện tích sử dụng (m</w:t>
      </w:r>
      <w:r w:rsidR="00D97AF2" w:rsidRPr="004C2084">
        <w:rPr>
          <w:sz w:val="28"/>
          <w:vertAlign w:val="superscript"/>
        </w:rPr>
        <w:t>2</w:t>
      </w:r>
      <w:r w:rsidR="00D97AF2" w:rsidRPr="004C2084">
        <w:rPr>
          <w:sz w:val="28"/>
        </w:rPr>
        <w:t>) để tính thu tiền cho thuê nhà theo đơn giá qui định tại Điều 1 Quyết định này là diện tích thông thủy của các diện tích sau:</w:t>
      </w:r>
    </w:p>
    <w:p w:rsidR="00D97AF2" w:rsidRPr="004C2084" w:rsidRDefault="00D97AF2" w:rsidP="00136C79">
      <w:pPr>
        <w:spacing w:before="120"/>
        <w:jc w:val="both"/>
        <w:rPr>
          <w:sz w:val="28"/>
        </w:rPr>
      </w:pPr>
      <w:r w:rsidRPr="004C2084">
        <w:rPr>
          <w:sz w:val="28"/>
        </w:rPr>
        <w:tab/>
        <w:t>- Diện tích các phòng ở hoặc bộ phận dùng vào mục đích ở (m</w:t>
      </w:r>
      <w:r w:rsidRPr="004C2084">
        <w:rPr>
          <w:sz w:val="28"/>
          <w:vertAlign w:val="superscript"/>
        </w:rPr>
        <w:t>2</w:t>
      </w:r>
      <w:r w:rsidRPr="004C2084">
        <w:rPr>
          <w:sz w:val="28"/>
        </w:rPr>
        <w:t>).</w:t>
      </w:r>
    </w:p>
    <w:p w:rsidR="00D97AF2" w:rsidRPr="004C2084" w:rsidRDefault="00D97AF2" w:rsidP="00136C79">
      <w:pPr>
        <w:spacing w:before="120"/>
        <w:jc w:val="both"/>
        <w:rPr>
          <w:sz w:val="28"/>
        </w:rPr>
      </w:pPr>
      <w:r w:rsidRPr="004C2084">
        <w:rPr>
          <w:sz w:val="28"/>
        </w:rPr>
        <w:tab/>
        <w:t>- Diện t</w:t>
      </w:r>
      <w:r w:rsidR="00EC6B66">
        <w:rPr>
          <w:sz w:val="28"/>
        </w:rPr>
        <w:t>ích các phòng, các bộ phận phụ “bếp, xí, tắm, giặt, rửa,…”</w:t>
      </w:r>
      <w:r w:rsidRPr="004C2084">
        <w:rPr>
          <w:sz w:val="28"/>
        </w:rPr>
        <w:t xml:space="preserve"> (m</w:t>
      </w:r>
      <w:r w:rsidRPr="004C2084">
        <w:rPr>
          <w:sz w:val="28"/>
          <w:vertAlign w:val="superscript"/>
        </w:rPr>
        <w:t>2</w:t>
      </w:r>
      <w:r w:rsidRPr="004C2084">
        <w:rPr>
          <w:sz w:val="28"/>
        </w:rPr>
        <w:t>).</w:t>
      </w:r>
    </w:p>
    <w:p w:rsidR="00D97AF2" w:rsidRPr="004C2084" w:rsidRDefault="00D97AF2" w:rsidP="00136C79">
      <w:pPr>
        <w:spacing w:before="120"/>
        <w:jc w:val="both"/>
        <w:rPr>
          <w:sz w:val="28"/>
        </w:rPr>
      </w:pPr>
      <w:r w:rsidRPr="004C2084">
        <w:rPr>
          <w:sz w:val="28"/>
        </w:rPr>
        <w:tab/>
      </w:r>
      <w:r w:rsidR="003A45E4" w:rsidRPr="004C2084">
        <w:rPr>
          <w:sz w:val="28"/>
        </w:rPr>
        <w:t>3</w:t>
      </w:r>
      <w:r w:rsidR="00362E11" w:rsidRPr="004C2084">
        <w:rPr>
          <w:sz w:val="28"/>
        </w:rPr>
        <w:t>.</w:t>
      </w:r>
      <w:r w:rsidRPr="004C2084">
        <w:rPr>
          <w:sz w:val="28"/>
        </w:rPr>
        <w:t xml:space="preserve"> Xác định vị trí khu vực:</w:t>
      </w:r>
    </w:p>
    <w:p w:rsidR="00D97AF2" w:rsidRPr="004C2084" w:rsidRDefault="00362E11" w:rsidP="00136C79">
      <w:pPr>
        <w:spacing w:before="120"/>
        <w:jc w:val="both"/>
        <w:rPr>
          <w:sz w:val="28"/>
        </w:rPr>
      </w:pPr>
      <w:r w:rsidRPr="004C2084">
        <w:rPr>
          <w:sz w:val="28"/>
        </w:rPr>
        <w:tab/>
        <w:t>a)</w:t>
      </w:r>
      <w:r w:rsidR="00D97AF2" w:rsidRPr="004C2084">
        <w:rPr>
          <w:sz w:val="28"/>
        </w:rPr>
        <w:t xml:space="preserve"> Khu vực trung tâm</w:t>
      </w:r>
      <w:r w:rsidR="005B4CD2" w:rsidRPr="004C2084">
        <w:rPr>
          <w:sz w:val="28"/>
        </w:rPr>
        <w:t>: C</w:t>
      </w:r>
      <w:r w:rsidR="00D97AF2" w:rsidRPr="004C2084">
        <w:rPr>
          <w:sz w:val="28"/>
        </w:rPr>
        <w:t xml:space="preserve">ác phường thuộc quận Hải Châu (trừ phường Hòa Cường Bắc, Hòa Cường </w:t>
      </w:r>
      <w:smartTag w:uri="urn:schemas-microsoft-com:office:smarttags" w:element="country-region">
        <w:smartTag w:uri="urn:schemas-microsoft-com:office:smarttags" w:element="place">
          <w:r w:rsidR="00D97AF2" w:rsidRPr="004C2084">
            <w:rPr>
              <w:sz w:val="28"/>
            </w:rPr>
            <w:t>Nam</w:t>
          </w:r>
        </w:smartTag>
      </w:smartTag>
      <w:r w:rsidR="00D97AF2" w:rsidRPr="004C2084">
        <w:rPr>
          <w:sz w:val="28"/>
        </w:rPr>
        <w:t>); các phường</w:t>
      </w:r>
      <w:r w:rsidR="005B4CD2" w:rsidRPr="004C2084">
        <w:rPr>
          <w:sz w:val="28"/>
        </w:rPr>
        <w:t>:</w:t>
      </w:r>
      <w:r w:rsidR="00D97AF2" w:rsidRPr="004C2084">
        <w:rPr>
          <w:sz w:val="28"/>
        </w:rPr>
        <w:t xml:space="preserve"> Vĩnh Trung, Tân Chính, Thạc Gián, Tam Thuận của quận Thanh Khê.</w:t>
      </w:r>
    </w:p>
    <w:p w:rsidR="00D97AF2" w:rsidRPr="004C2084" w:rsidRDefault="00362E11" w:rsidP="00136C79">
      <w:pPr>
        <w:spacing w:before="120"/>
        <w:jc w:val="both"/>
        <w:rPr>
          <w:sz w:val="28"/>
        </w:rPr>
      </w:pPr>
      <w:r w:rsidRPr="004C2084">
        <w:rPr>
          <w:sz w:val="28"/>
        </w:rPr>
        <w:lastRenderedPageBreak/>
        <w:tab/>
        <w:t>b)</w:t>
      </w:r>
      <w:r w:rsidR="00D97AF2" w:rsidRPr="004C2084">
        <w:rPr>
          <w:sz w:val="28"/>
        </w:rPr>
        <w:t xml:space="preserve"> Khu vực cận trung tâm: </w:t>
      </w:r>
      <w:r w:rsidR="005B4CD2" w:rsidRPr="004C2084">
        <w:rPr>
          <w:sz w:val="28"/>
        </w:rPr>
        <w:t>C</w:t>
      </w:r>
      <w:r w:rsidR="00D97AF2" w:rsidRPr="004C2084">
        <w:rPr>
          <w:sz w:val="28"/>
        </w:rPr>
        <w:t xml:space="preserve">ác phường còn lại của quận Hải Châu và </w:t>
      </w:r>
      <w:r w:rsidR="00401EB9" w:rsidRPr="004C2084">
        <w:rPr>
          <w:sz w:val="28"/>
        </w:rPr>
        <w:t xml:space="preserve">quận </w:t>
      </w:r>
      <w:r w:rsidR="00D97AF2" w:rsidRPr="004C2084">
        <w:rPr>
          <w:sz w:val="28"/>
        </w:rPr>
        <w:t>Thanh Khê; quận Sơn Trà; phường Khuê Mỹ và Mỹ An của quận Ngũ Hành Sơn; phường Khuê Trung của quận Cẩm Lệ.</w:t>
      </w:r>
    </w:p>
    <w:p w:rsidR="00D97AF2" w:rsidRPr="004C2084" w:rsidRDefault="00D97AF2" w:rsidP="00136C79">
      <w:pPr>
        <w:spacing w:before="120"/>
        <w:jc w:val="both"/>
        <w:rPr>
          <w:sz w:val="28"/>
        </w:rPr>
      </w:pPr>
      <w:r w:rsidRPr="004C2084">
        <w:rPr>
          <w:sz w:val="28"/>
        </w:rPr>
        <w:tab/>
        <w:t>c</w:t>
      </w:r>
      <w:r w:rsidR="00362E11" w:rsidRPr="004C2084">
        <w:rPr>
          <w:sz w:val="28"/>
        </w:rPr>
        <w:t>)</w:t>
      </w:r>
      <w:r w:rsidRPr="004C2084">
        <w:rPr>
          <w:sz w:val="28"/>
        </w:rPr>
        <w:t xml:space="preserve"> </w:t>
      </w:r>
      <w:r w:rsidR="00401EB9" w:rsidRPr="004C2084">
        <w:rPr>
          <w:sz w:val="28"/>
        </w:rPr>
        <w:t xml:space="preserve">Khu vực ven nội: </w:t>
      </w:r>
      <w:r w:rsidR="009C005F" w:rsidRPr="004C2084">
        <w:rPr>
          <w:sz w:val="28"/>
        </w:rPr>
        <w:t>c</w:t>
      </w:r>
      <w:r w:rsidRPr="004C2084">
        <w:rPr>
          <w:sz w:val="28"/>
        </w:rPr>
        <w:t xml:space="preserve">ác </w:t>
      </w:r>
      <w:r w:rsidR="00557F72" w:rsidRPr="004C2084">
        <w:rPr>
          <w:sz w:val="28"/>
        </w:rPr>
        <w:t xml:space="preserve">xã, </w:t>
      </w:r>
      <w:r w:rsidRPr="004C2084">
        <w:rPr>
          <w:sz w:val="28"/>
        </w:rPr>
        <w:t>phường còn lại của các quận, huyện.</w:t>
      </w:r>
    </w:p>
    <w:p w:rsidR="00D97AF2" w:rsidRPr="004C2084" w:rsidRDefault="00D97AF2" w:rsidP="00EC6B66">
      <w:pPr>
        <w:spacing w:before="120"/>
        <w:jc w:val="both"/>
        <w:rPr>
          <w:sz w:val="28"/>
        </w:rPr>
      </w:pPr>
      <w:r w:rsidRPr="004C2084">
        <w:rPr>
          <w:sz w:val="28"/>
        </w:rPr>
        <w:tab/>
      </w:r>
      <w:r w:rsidR="003A45E4" w:rsidRPr="004C2084">
        <w:rPr>
          <w:sz w:val="28"/>
        </w:rPr>
        <w:t>4</w:t>
      </w:r>
      <w:r w:rsidR="00362E11" w:rsidRPr="004C2084">
        <w:rPr>
          <w:sz w:val="28"/>
        </w:rPr>
        <w:t>.</w:t>
      </w:r>
      <w:r w:rsidRPr="004C2084">
        <w:rPr>
          <w:sz w:val="28"/>
        </w:rPr>
        <w:t xml:space="preserve"> Xác định điều kiện hạ tầng kỹ thuật:</w:t>
      </w:r>
      <w:r w:rsidRPr="004C2084">
        <w:rPr>
          <w:sz w:val="28"/>
        </w:rPr>
        <w:tab/>
      </w:r>
    </w:p>
    <w:p w:rsidR="00D97AF2" w:rsidRPr="004C2084" w:rsidRDefault="00362E11" w:rsidP="00136C79">
      <w:pPr>
        <w:spacing w:before="120"/>
        <w:jc w:val="both"/>
        <w:rPr>
          <w:sz w:val="28"/>
        </w:rPr>
      </w:pPr>
      <w:r w:rsidRPr="004C2084">
        <w:rPr>
          <w:sz w:val="28"/>
        </w:rPr>
        <w:tab/>
        <w:t>a)</w:t>
      </w:r>
      <w:r w:rsidR="00D97AF2" w:rsidRPr="004C2084">
        <w:rPr>
          <w:sz w:val="28"/>
        </w:rPr>
        <w:t xml:space="preserve"> Điều kiện hạ tầng kỹ thuật tốt: </w:t>
      </w:r>
      <w:r w:rsidR="005B4CD2" w:rsidRPr="004C2084">
        <w:rPr>
          <w:sz w:val="28"/>
        </w:rPr>
        <w:t>N</w:t>
      </w:r>
      <w:r w:rsidR="00D97AF2" w:rsidRPr="004C2084">
        <w:rPr>
          <w:sz w:val="28"/>
        </w:rPr>
        <w:t xml:space="preserve">hà </w:t>
      </w:r>
      <w:r w:rsidR="006D1F98" w:rsidRPr="004C2084">
        <w:rPr>
          <w:sz w:val="28"/>
          <w:szCs w:val="28"/>
        </w:rPr>
        <w:t>ở mặt tiền đường phố</w:t>
      </w:r>
      <w:r w:rsidR="00D97AF2" w:rsidRPr="004C2084">
        <w:rPr>
          <w:sz w:val="28"/>
        </w:rPr>
        <w:t>, có vệ sinh khép kín, hệ thống thoát nước hoạt động bình thường.</w:t>
      </w:r>
    </w:p>
    <w:p w:rsidR="00D97AF2" w:rsidRPr="004C2084" w:rsidRDefault="00362E11" w:rsidP="00136C79">
      <w:pPr>
        <w:spacing w:before="120"/>
        <w:jc w:val="both"/>
        <w:rPr>
          <w:sz w:val="28"/>
        </w:rPr>
      </w:pPr>
      <w:r w:rsidRPr="004C2084">
        <w:rPr>
          <w:sz w:val="28"/>
        </w:rPr>
        <w:tab/>
        <w:t>b)</w:t>
      </w:r>
      <w:r w:rsidR="00D97AF2" w:rsidRPr="004C2084">
        <w:rPr>
          <w:sz w:val="28"/>
        </w:rPr>
        <w:t xml:space="preserve"> Điều kiện hạ tầng kỹ thuật trung bình: </w:t>
      </w:r>
      <w:r w:rsidR="005B4CD2" w:rsidRPr="004C2084">
        <w:rPr>
          <w:sz w:val="28"/>
        </w:rPr>
        <w:t>N</w:t>
      </w:r>
      <w:r w:rsidR="00D97AF2" w:rsidRPr="004C2084">
        <w:rPr>
          <w:sz w:val="28"/>
        </w:rPr>
        <w:t xml:space="preserve">hà </w:t>
      </w:r>
      <w:r w:rsidR="006D1F98" w:rsidRPr="004C2084">
        <w:rPr>
          <w:sz w:val="28"/>
          <w:szCs w:val="28"/>
        </w:rPr>
        <w:t>ở ven các đường kiệt có độ rộng từ 4,5m trở lên</w:t>
      </w:r>
      <w:r w:rsidR="00D97AF2" w:rsidRPr="004C2084">
        <w:rPr>
          <w:sz w:val="28"/>
        </w:rPr>
        <w:t>.</w:t>
      </w:r>
    </w:p>
    <w:p w:rsidR="001A0945" w:rsidRPr="004C2084" w:rsidRDefault="00D97AF2" w:rsidP="00136C79">
      <w:pPr>
        <w:spacing w:before="120"/>
        <w:jc w:val="both"/>
        <w:rPr>
          <w:sz w:val="28"/>
        </w:rPr>
      </w:pPr>
      <w:r w:rsidRPr="004C2084">
        <w:rPr>
          <w:sz w:val="28"/>
        </w:rPr>
        <w:tab/>
        <w:t>c</w:t>
      </w:r>
      <w:r w:rsidR="00362E11" w:rsidRPr="004C2084">
        <w:rPr>
          <w:sz w:val="28"/>
        </w:rPr>
        <w:t>)</w:t>
      </w:r>
      <w:r w:rsidRPr="004C2084">
        <w:rPr>
          <w:sz w:val="28"/>
        </w:rPr>
        <w:t xml:space="preserve"> Điều kiện </w:t>
      </w:r>
      <w:r w:rsidR="007A7943" w:rsidRPr="004C2084">
        <w:rPr>
          <w:sz w:val="28"/>
        </w:rPr>
        <w:t xml:space="preserve">hạ tầng kỹ thuật kém: </w:t>
      </w:r>
      <w:r w:rsidR="006D1F98" w:rsidRPr="004C2084">
        <w:rPr>
          <w:sz w:val="28"/>
        </w:rPr>
        <w:t xml:space="preserve">Nhà </w:t>
      </w:r>
      <w:r w:rsidR="006D1F98" w:rsidRPr="004C2084">
        <w:rPr>
          <w:sz w:val="28"/>
          <w:szCs w:val="28"/>
        </w:rPr>
        <w:t>ở ven các đường kiệt có độ rộng</w:t>
      </w:r>
      <w:r w:rsidR="007A7943" w:rsidRPr="004C2084">
        <w:rPr>
          <w:sz w:val="28"/>
        </w:rPr>
        <w:t xml:space="preserve"> dưới 4,5m.</w:t>
      </w:r>
      <w:r w:rsidR="001A0945" w:rsidRPr="004C2084">
        <w:rPr>
          <w:sz w:val="28"/>
        </w:rPr>
        <w:t xml:space="preserve"> </w:t>
      </w:r>
    </w:p>
    <w:p w:rsidR="007A7943" w:rsidRPr="004C2084" w:rsidRDefault="00136C79" w:rsidP="00136C79">
      <w:pPr>
        <w:spacing w:before="120"/>
        <w:jc w:val="both"/>
        <w:rPr>
          <w:sz w:val="28"/>
        </w:rPr>
      </w:pPr>
      <w:r w:rsidRPr="004C2084">
        <w:rPr>
          <w:sz w:val="28"/>
        </w:rPr>
        <w:tab/>
      </w:r>
      <w:r w:rsidRPr="004C2084">
        <w:rPr>
          <w:b/>
          <w:sz w:val="28"/>
        </w:rPr>
        <w:t>Điều 3</w:t>
      </w:r>
      <w:r w:rsidRPr="004C2084">
        <w:rPr>
          <w:sz w:val="28"/>
        </w:rPr>
        <w:t xml:space="preserve">. </w:t>
      </w:r>
      <w:r w:rsidR="00BC174D" w:rsidRPr="004C2084">
        <w:rPr>
          <w:sz w:val="28"/>
        </w:rPr>
        <w:t>Giá cho thuê nhà nhiều tầng chỉ có 1 hộ thuê sử dụng được tính theo giá cho thuê tầng 1 đối với toàn bộ diện tích sử dụng của ngôi nhà nhiều tầng đó.</w:t>
      </w:r>
    </w:p>
    <w:p w:rsidR="009C005F" w:rsidRPr="004C2084" w:rsidRDefault="00BC174D" w:rsidP="00041A6D">
      <w:pPr>
        <w:spacing w:before="120"/>
        <w:jc w:val="both"/>
        <w:rPr>
          <w:sz w:val="28"/>
        </w:rPr>
      </w:pPr>
      <w:r w:rsidRPr="004C2084">
        <w:rPr>
          <w:sz w:val="28"/>
        </w:rPr>
        <w:tab/>
      </w:r>
      <w:r w:rsidRPr="004C2084">
        <w:rPr>
          <w:b/>
          <w:sz w:val="28"/>
        </w:rPr>
        <w:t>Điều 4.</w:t>
      </w:r>
      <w:r w:rsidRPr="004C2084">
        <w:rPr>
          <w:sz w:val="28"/>
        </w:rPr>
        <w:t xml:space="preserve"> Thực hiện miễn, giảm tiền thuê nhà</w:t>
      </w:r>
      <w:r w:rsidR="00041A6D" w:rsidRPr="004C2084">
        <w:rPr>
          <w:sz w:val="28"/>
        </w:rPr>
        <w:t xml:space="preserve">, </w:t>
      </w:r>
      <w:r w:rsidR="003A45E4" w:rsidRPr="004C2084">
        <w:rPr>
          <w:sz w:val="28"/>
        </w:rPr>
        <w:t xml:space="preserve">điều kiện được miễn giảm </w:t>
      </w:r>
      <w:r w:rsidRPr="004C2084">
        <w:rPr>
          <w:sz w:val="28"/>
        </w:rPr>
        <w:t>đối</w:t>
      </w:r>
      <w:r w:rsidR="009C005F" w:rsidRPr="004C2084">
        <w:rPr>
          <w:sz w:val="28"/>
        </w:rPr>
        <w:t xml:space="preserve"> </w:t>
      </w:r>
      <w:r w:rsidRPr="004C2084">
        <w:rPr>
          <w:sz w:val="28"/>
        </w:rPr>
        <w:t xml:space="preserve">với nhà ở mà nhà nước chưa tiến hành cải tại, xây dựng lại </w:t>
      </w:r>
      <w:r w:rsidR="003A45E4" w:rsidRPr="004C2084">
        <w:rPr>
          <w:sz w:val="28"/>
        </w:rPr>
        <w:t xml:space="preserve">cho các đối tượng </w:t>
      </w:r>
      <w:r w:rsidR="00041A6D" w:rsidRPr="004C2084">
        <w:rPr>
          <w:sz w:val="28"/>
        </w:rPr>
        <w:t>và m</w:t>
      </w:r>
      <w:r w:rsidR="00C81FF8" w:rsidRPr="004C2084">
        <w:rPr>
          <w:sz w:val="28"/>
        </w:rPr>
        <w:t>ột số qu</w:t>
      </w:r>
      <w:r w:rsidR="00041A6D" w:rsidRPr="004C2084">
        <w:rPr>
          <w:sz w:val="28"/>
        </w:rPr>
        <w:t>y</w:t>
      </w:r>
      <w:r w:rsidR="00C81FF8" w:rsidRPr="004C2084">
        <w:rPr>
          <w:sz w:val="28"/>
        </w:rPr>
        <w:t xml:space="preserve"> định cụ thể</w:t>
      </w:r>
      <w:r w:rsidR="00F17F6C" w:rsidRPr="004C2084">
        <w:rPr>
          <w:sz w:val="28"/>
        </w:rPr>
        <w:t xml:space="preserve"> đối với bên thuê nhà ở thuộc sở hữu nhà nước thực hiện đúng theo </w:t>
      </w:r>
      <w:r w:rsidR="00041A6D" w:rsidRPr="004C2084">
        <w:rPr>
          <w:sz w:val="28"/>
        </w:rPr>
        <w:t xml:space="preserve">Điều </w:t>
      </w:r>
      <w:r w:rsidR="009C005F" w:rsidRPr="004C2084">
        <w:rPr>
          <w:sz w:val="28"/>
        </w:rPr>
        <w:t>29 của Thông tư số 14/2013/TT-BXD ngày 19 tháng 9 năm 2013 của Bộ Xây dựng Hướng dẫn thực hiện một số nội dung của Nghị định 34/2013/NĐ-CP ngày 22 tháng 4 năm 2013 của Chính phủ về quản lý sử dụng nhà ở thuộc sở hữu nhà nước.</w:t>
      </w:r>
    </w:p>
    <w:p w:rsidR="00362E11" w:rsidRPr="004C2084" w:rsidRDefault="00362E11" w:rsidP="009C005F">
      <w:pPr>
        <w:spacing w:before="120"/>
        <w:ind w:firstLine="720"/>
        <w:jc w:val="both"/>
        <w:rPr>
          <w:sz w:val="28"/>
        </w:rPr>
      </w:pPr>
      <w:r w:rsidRPr="004C2084">
        <w:rPr>
          <w:b/>
          <w:sz w:val="28"/>
        </w:rPr>
        <w:t xml:space="preserve">Điều </w:t>
      </w:r>
      <w:r w:rsidR="00305E4C" w:rsidRPr="004C2084">
        <w:rPr>
          <w:b/>
          <w:sz w:val="28"/>
        </w:rPr>
        <w:t>5</w:t>
      </w:r>
      <w:r w:rsidRPr="004C2084">
        <w:rPr>
          <w:b/>
          <w:sz w:val="28"/>
        </w:rPr>
        <w:t>.</w:t>
      </w:r>
      <w:r w:rsidRPr="004C2084">
        <w:rPr>
          <w:sz w:val="28"/>
        </w:rPr>
        <w:t xml:space="preserve"> </w:t>
      </w:r>
      <w:r w:rsidR="00F17F6C" w:rsidRPr="004C2084">
        <w:rPr>
          <w:sz w:val="28"/>
        </w:rPr>
        <w:t>Giao Sở Xây dựng chỉ đạo Công ty Quản lý nhà Đà Nẵng căn cứ Quyết định này thực hiện ký lại hợp đồng thuê nhà theo mẫu quy định tại Thông tư số 14/2013/TT-BXD ngày 19 tháng 9 năm 2013 của Bộ Xây dựng về hướng dẫn thực hiện một số nội dung của Nghị định số 34/2013/NĐ-CP ngày 22 tháng 4 năm 2013 của Chính phủ về quản lý sử dụng nhà ở thuộc sở hữu nhà nước, và thu tiền thuê nhà, nộp vào ngân sách theo quy định.</w:t>
      </w:r>
    </w:p>
    <w:p w:rsidR="00362E11" w:rsidRPr="004C2084" w:rsidRDefault="00F17F6C" w:rsidP="00E47CE2">
      <w:pPr>
        <w:spacing w:before="120"/>
        <w:ind w:firstLine="720"/>
        <w:jc w:val="both"/>
        <w:rPr>
          <w:sz w:val="28"/>
          <w:szCs w:val="28"/>
        </w:rPr>
      </w:pPr>
      <w:r w:rsidRPr="004C2084">
        <w:rPr>
          <w:b/>
          <w:sz w:val="28"/>
        </w:rPr>
        <w:t xml:space="preserve">Điều </w:t>
      </w:r>
      <w:r w:rsidR="00305E4C" w:rsidRPr="004C2084">
        <w:rPr>
          <w:b/>
          <w:sz w:val="28"/>
        </w:rPr>
        <w:t>6</w:t>
      </w:r>
      <w:r w:rsidR="00362E11" w:rsidRPr="004C2084">
        <w:rPr>
          <w:b/>
          <w:sz w:val="28"/>
        </w:rPr>
        <w:t xml:space="preserve">. </w:t>
      </w:r>
      <w:r w:rsidR="00362E11" w:rsidRPr="004C2084">
        <w:rPr>
          <w:sz w:val="28"/>
        </w:rPr>
        <w:t xml:space="preserve">Quyết định này có hiệu lực </w:t>
      </w:r>
      <w:r w:rsidRPr="004C2084">
        <w:rPr>
          <w:sz w:val="28"/>
        </w:rPr>
        <w:t xml:space="preserve">sau 10 ngày </w:t>
      </w:r>
      <w:r w:rsidR="00362E11" w:rsidRPr="004C2084">
        <w:rPr>
          <w:sz w:val="28"/>
        </w:rPr>
        <w:t xml:space="preserve">kể từ ngày ký và </w:t>
      </w:r>
      <w:r w:rsidR="000D186F" w:rsidRPr="004C2084">
        <w:rPr>
          <w:sz w:val="28"/>
        </w:rPr>
        <w:t>thay thế điểm 1 Điều 1</w:t>
      </w:r>
      <w:r w:rsidR="00362E11" w:rsidRPr="004C2084">
        <w:rPr>
          <w:sz w:val="28"/>
        </w:rPr>
        <w:t xml:space="preserve"> Quyết định số 139/2002/QĐ-UB ngày 18 tháng 12 năm </w:t>
      </w:r>
      <w:r w:rsidR="00DB44A5" w:rsidRPr="004C2084">
        <w:rPr>
          <w:sz w:val="28"/>
        </w:rPr>
        <w:t xml:space="preserve">2002 của UBND thành phố; các nội dung khác tại Quyết định số 139/2002/QĐ-UB ngày 18 tháng 12 năm 2002 của UBND thành phố không trái với </w:t>
      </w:r>
      <w:r w:rsidR="00DB44A5" w:rsidRPr="004C2084">
        <w:rPr>
          <w:sz w:val="28"/>
          <w:szCs w:val="28"/>
        </w:rPr>
        <w:t>nội dung tại Quyết định này,</w:t>
      </w:r>
      <w:r w:rsidR="00DB44A5" w:rsidRPr="004C2084">
        <w:rPr>
          <w:bCs/>
          <w:sz w:val="28"/>
          <w:szCs w:val="28"/>
        </w:rPr>
        <w:t xml:space="preserve"> giữ nguyên giá trị thực hiện.</w:t>
      </w:r>
    </w:p>
    <w:p w:rsidR="00E62D81" w:rsidRPr="004C2084" w:rsidRDefault="00362E11" w:rsidP="000652B9">
      <w:pPr>
        <w:spacing w:before="120"/>
        <w:ind w:firstLine="720"/>
        <w:jc w:val="both"/>
      </w:pPr>
      <w:r w:rsidRPr="004C2084">
        <w:rPr>
          <w:b/>
          <w:sz w:val="28"/>
        </w:rPr>
        <w:t xml:space="preserve">Điều </w:t>
      </w:r>
      <w:r w:rsidR="00305E4C" w:rsidRPr="004C2084">
        <w:rPr>
          <w:b/>
          <w:sz w:val="28"/>
        </w:rPr>
        <w:t>7</w:t>
      </w:r>
      <w:r w:rsidRPr="004C2084">
        <w:rPr>
          <w:sz w:val="28"/>
        </w:rPr>
        <w:t xml:space="preserve">. Chánh Văn phòng UBND thành phố, </w:t>
      </w:r>
      <w:r w:rsidR="00F17F6C" w:rsidRPr="004C2084">
        <w:rPr>
          <w:sz w:val="28"/>
        </w:rPr>
        <w:t xml:space="preserve">Giám đốc các </w:t>
      </w:r>
      <w:r w:rsidR="008900F1" w:rsidRPr="004C2084">
        <w:rPr>
          <w:sz w:val="28"/>
        </w:rPr>
        <w:t>S</w:t>
      </w:r>
      <w:r w:rsidR="00F17F6C" w:rsidRPr="004C2084">
        <w:rPr>
          <w:sz w:val="28"/>
        </w:rPr>
        <w:t xml:space="preserve">ở: Xây dựng, Tài chính, </w:t>
      </w:r>
      <w:r w:rsidR="001015CB">
        <w:rPr>
          <w:sz w:val="28"/>
        </w:rPr>
        <w:t xml:space="preserve">Kế hoạch và Đầu tư, </w:t>
      </w:r>
      <w:r w:rsidR="00F17F6C" w:rsidRPr="004C2084">
        <w:rPr>
          <w:sz w:val="28"/>
        </w:rPr>
        <w:t xml:space="preserve">Tài nguyên và Môi trường, Lao động </w:t>
      </w:r>
      <w:r w:rsidR="0037120D" w:rsidRPr="004C2084">
        <w:rPr>
          <w:sz w:val="28"/>
        </w:rPr>
        <w:t>T</w:t>
      </w:r>
      <w:r w:rsidR="00F17F6C" w:rsidRPr="004C2084">
        <w:rPr>
          <w:sz w:val="28"/>
        </w:rPr>
        <w:t xml:space="preserve">hương binh và Xã hội, </w:t>
      </w:r>
      <w:r w:rsidR="001015CB">
        <w:rPr>
          <w:sz w:val="28"/>
        </w:rPr>
        <w:t>Tư pháp; Công an thành phố; Cục thuế thành phố;</w:t>
      </w:r>
      <w:r w:rsidR="00F17F6C" w:rsidRPr="004C2084">
        <w:rPr>
          <w:sz w:val="28"/>
        </w:rPr>
        <w:t xml:space="preserve"> Chủ tịch UBND các quận, huyện; Giám </w:t>
      </w:r>
      <w:r w:rsidR="001015CB">
        <w:rPr>
          <w:sz w:val="28"/>
        </w:rPr>
        <w:t>đốc Công ty Quản lý nhà Đà Nẵng;</w:t>
      </w:r>
      <w:r w:rsidR="00F17F6C" w:rsidRPr="004C2084">
        <w:rPr>
          <w:sz w:val="28"/>
        </w:rPr>
        <w:t xml:space="preserve"> </w:t>
      </w:r>
      <w:r w:rsidRPr="004C2084">
        <w:rPr>
          <w:sz w:val="28"/>
        </w:rPr>
        <w:t>Thủ trưởng các cơ quan</w:t>
      </w:r>
      <w:r w:rsidR="00F17F6C" w:rsidRPr="004C2084">
        <w:rPr>
          <w:sz w:val="28"/>
        </w:rPr>
        <w:t xml:space="preserve">, tổ chức và </w:t>
      </w:r>
      <w:r w:rsidR="001015CB">
        <w:rPr>
          <w:sz w:val="28"/>
        </w:rPr>
        <w:t>cá nhân</w:t>
      </w:r>
      <w:r w:rsidR="00F17F6C" w:rsidRPr="004C2084">
        <w:rPr>
          <w:sz w:val="28"/>
        </w:rPr>
        <w:t xml:space="preserve"> có liên quan căn cứ Quyết định thi hành./.</w:t>
      </w:r>
      <w:r w:rsidR="005B4CD2" w:rsidRPr="004C2084">
        <w:t xml:space="preserve"> </w:t>
      </w:r>
    </w:p>
    <w:tbl>
      <w:tblPr>
        <w:tblW w:w="10030" w:type="dxa"/>
        <w:tblLook w:val="04A0" w:firstRow="1" w:lastRow="0" w:firstColumn="1" w:lastColumn="0" w:noHBand="0" w:noVBand="1"/>
      </w:tblPr>
      <w:tblGrid>
        <w:gridCol w:w="4644"/>
        <w:gridCol w:w="5386"/>
      </w:tblGrid>
      <w:tr w:rsidR="00E62D81" w:rsidRPr="004C2084">
        <w:tc>
          <w:tcPr>
            <w:tcW w:w="4644" w:type="dxa"/>
            <w:shd w:val="clear" w:color="auto" w:fill="auto"/>
          </w:tcPr>
          <w:p w:rsidR="00E62D81" w:rsidRPr="004C2084" w:rsidRDefault="00E62D81" w:rsidP="000652B9">
            <w:pPr>
              <w:spacing w:before="120"/>
              <w:jc w:val="both"/>
              <w:rPr>
                <w:sz w:val="28"/>
                <w:szCs w:val="20"/>
              </w:rPr>
            </w:pPr>
          </w:p>
        </w:tc>
        <w:tc>
          <w:tcPr>
            <w:tcW w:w="5386" w:type="dxa"/>
            <w:shd w:val="clear" w:color="auto" w:fill="auto"/>
          </w:tcPr>
          <w:p w:rsidR="00E62D81" w:rsidRPr="00633B03" w:rsidRDefault="00633B03" w:rsidP="000652B9">
            <w:pPr>
              <w:spacing w:before="120"/>
              <w:jc w:val="center"/>
              <w:rPr>
                <w:b/>
                <w:sz w:val="28"/>
                <w:szCs w:val="28"/>
              </w:rPr>
            </w:pPr>
            <w:r>
              <w:rPr>
                <w:b/>
                <w:sz w:val="28"/>
                <w:szCs w:val="28"/>
              </w:rPr>
              <w:t xml:space="preserve">  </w:t>
            </w:r>
            <w:r w:rsidR="00E62D81" w:rsidRPr="00633B03">
              <w:rPr>
                <w:b/>
                <w:sz w:val="28"/>
                <w:szCs w:val="28"/>
              </w:rPr>
              <w:t>TM. ỦY BAN  NHÂN DÂN</w:t>
            </w:r>
          </w:p>
        </w:tc>
      </w:tr>
      <w:tr w:rsidR="00E62D81" w:rsidRPr="004C2084">
        <w:tc>
          <w:tcPr>
            <w:tcW w:w="4644" w:type="dxa"/>
            <w:shd w:val="clear" w:color="auto" w:fill="auto"/>
          </w:tcPr>
          <w:p w:rsidR="00E62D81" w:rsidRPr="004C2084" w:rsidRDefault="00E62D81" w:rsidP="00E62D81">
            <w:pPr>
              <w:spacing w:line="228" w:lineRule="auto"/>
              <w:jc w:val="both"/>
              <w:rPr>
                <w:sz w:val="28"/>
                <w:szCs w:val="20"/>
              </w:rPr>
            </w:pPr>
          </w:p>
        </w:tc>
        <w:tc>
          <w:tcPr>
            <w:tcW w:w="5386" w:type="dxa"/>
            <w:shd w:val="clear" w:color="auto" w:fill="auto"/>
          </w:tcPr>
          <w:p w:rsidR="00E62D81" w:rsidRPr="00633B03" w:rsidRDefault="00633B03" w:rsidP="00E62D81">
            <w:pPr>
              <w:spacing w:line="228" w:lineRule="auto"/>
              <w:jc w:val="center"/>
              <w:rPr>
                <w:b/>
                <w:sz w:val="28"/>
                <w:szCs w:val="28"/>
              </w:rPr>
            </w:pPr>
            <w:r>
              <w:rPr>
                <w:b/>
                <w:bCs/>
                <w:sz w:val="28"/>
                <w:szCs w:val="28"/>
              </w:rPr>
              <w:t xml:space="preserve">   </w:t>
            </w:r>
            <w:r w:rsidR="00E62D81" w:rsidRPr="00633B03">
              <w:rPr>
                <w:b/>
                <w:bCs/>
                <w:sz w:val="28"/>
                <w:szCs w:val="28"/>
              </w:rPr>
              <w:t>CHỦ TỊCH</w:t>
            </w:r>
          </w:p>
          <w:p w:rsidR="00E62D81" w:rsidRPr="004C2084" w:rsidRDefault="00E62D81" w:rsidP="00E62D81">
            <w:pPr>
              <w:spacing w:line="228" w:lineRule="auto"/>
              <w:jc w:val="center"/>
              <w:rPr>
                <w:sz w:val="28"/>
                <w:szCs w:val="20"/>
              </w:rPr>
            </w:pPr>
            <w:r w:rsidRPr="004C2084">
              <w:rPr>
                <w:b/>
                <w:sz w:val="28"/>
                <w:szCs w:val="28"/>
              </w:rPr>
              <w:t xml:space="preserve">     Văn Hữu Chiến</w:t>
            </w:r>
          </w:p>
        </w:tc>
      </w:tr>
    </w:tbl>
    <w:p w:rsidR="00136C79" w:rsidRPr="004C2084" w:rsidRDefault="005B4CD2" w:rsidP="005B4CD2">
      <w:r w:rsidRPr="004C2084">
        <w:tab/>
      </w:r>
      <w:r w:rsidRPr="004C2084">
        <w:tab/>
      </w:r>
      <w:r w:rsidRPr="004C2084">
        <w:tab/>
      </w:r>
      <w:r w:rsidRPr="004C2084">
        <w:tab/>
      </w:r>
      <w:r w:rsidRPr="004C2084">
        <w:tab/>
        <w:t xml:space="preserve">                                                                     </w:t>
      </w:r>
    </w:p>
    <w:p w:rsidR="00990011" w:rsidRPr="004C2084" w:rsidRDefault="00990011"/>
    <w:sectPr w:rsidR="00990011" w:rsidRPr="004C2084" w:rsidSect="00633B03">
      <w:pgSz w:w="11907" w:h="16839" w:code="9"/>
      <w:pgMar w:top="1474" w:right="987" w:bottom="1191" w:left="1200"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737BD"/>
    <w:multiLevelType w:val="hybridMultilevel"/>
    <w:tmpl w:val="49BE94AE"/>
    <w:lvl w:ilvl="0" w:tplc="51B4CA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79"/>
    <w:rsid w:val="000068F1"/>
    <w:rsid w:val="00041A6D"/>
    <w:rsid w:val="000652B9"/>
    <w:rsid w:val="0008753F"/>
    <w:rsid w:val="000D186F"/>
    <w:rsid w:val="001015CB"/>
    <w:rsid w:val="00134CB4"/>
    <w:rsid w:val="00136C79"/>
    <w:rsid w:val="001A0945"/>
    <w:rsid w:val="00305E4C"/>
    <w:rsid w:val="00312F81"/>
    <w:rsid w:val="00362E11"/>
    <w:rsid w:val="0037120D"/>
    <w:rsid w:val="003A45E4"/>
    <w:rsid w:val="00401EB9"/>
    <w:rsid w:val="004C2084"/>
    <w:rsid w:val="00557F72"/>
    <w:rsid w:val="005B4CD2"/>
    <w:rsid w:val="005D2F8F"/>
    <w:rsid w:val="00633B03"/>
    <w:rsid w:val="006B6B59"/>
    <w:rsid w:val="006D1F98"/>
    <w:rsid w:val="006F0B88"/>
    <w:rsid w:val="007A7943"/>
    <w:rsid w:val="00812C9D"/>
    <w:rsid w:val="008900F1"/>
    <w:rsid w:val="008D136A"/>
    <w:rsid w:val="008D49E3"/>
    <w:rsid w:val="0097398F"/>
    <w:rsid w:val="00975863"/>
    <w:rsid w:val="00990011"/>
    <w:rsid w:val="009C005F"/>
    <w:rsid w:val="009D5468"/>
    <w:rsid w:val="009F4AEA"/>
    <w:rsid w:val="00A678F4"/>
    <w:rsid w:val="00AA6F76"/>
    <w:rsid w:val="00B20193"/>
    <w:rsid w:val="00BC174D"/>
    <w:rsid w:val="00BD319F"/>
    <w:rsid w:val="00C43251"/>
    <w:rsid w:val="00C81FF8"/>
    <w:rsid w:val="00D94CF0"/>
    <w:rsid w:val="00D97AF2"/>
    <w:rsid w:val="00DB44A5"/>
    <w:rsid w:val="00DC77C3"/>
    <w:rsid w:val="00E47CE2"/>
    <w:rsid w:val="00E62D81"/>
    <w:rsid w:val="00EA1EF5"/>
    <w:rsid w:val="00EC0B6D"/>
    <w:rsid w:val="00EC6B66"/>
    <w:rsid w:val="00F17F6C"/>
    <w:rsid w:val="00F3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1AB3C3A-D6D3-4894-9F8F-7D42501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79"/>
    <w:rPr>
      <w:sz w:val="24"/>
      <w:szCs w:val="24"/>
    </w:rPr>
  </w:style>
  <w:style w:type="paragraph" w:styleId="Heading2">
    <w:name w:val="heading 2"/>
    <w:basedOn w:val="Normal"/>
    <w:next w:val="Normal"/>
    <w:qFormat/>
    <w:rsid w:val="00136C79"/>
    <w:pPr>
      <w:keepNext/>
      <w:jc w:val="center"/>
      <w:outlineLvl w:val="1"/>
    </w:pPr>
    <w:rPr>
      <w:rFonts w:ascii="VNtimes new roman" w:hAnsi="VNtimes new roman"/>
      <w:b/>
      <w:sz w:val="28"/>
      <w:szCs w:val="20"/>
    </w:rPr>
  </w:style>
  <w:style w:type="paragraph" w:styleId="Heading4">
    <w:name w:val="heading 4"/>
    <w:basedOn w:val="Normal"/>
    <w:next w:val="Normal"/>
    <w:qFormat/>
    <w:rsid w:val="00136C79"/>
    <w:pPr>
      <w:keepNext/>
      <w:ind w:left="1440"/>
      <w:jc w:val="both"/>
      <w:outlineLvl w:val="3"/>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36C79"/>
    <w:pPr>
      <w:jc w:val="both"/>
    </w:pPr>
    <w:rPr>
      <w:sz w:val="28"/>
      <w:szCs w:val="20"/>
    </w:rPr>
  </w:style>
  <w:style w:type="paragraph" w:styleId="BodyTextIndent">
    <w:name w:val="Body Text Indent"/>
    <w:basedOn w:val="Normal"/>
    <w:rsid w:val="00136C79"/>
    <w:pPr>
      <w:spacing w:before="120"/>
      <w:ind w:firstLine="720"/>
      <w:jc w:val="both"/>
    </w:pPr>
    <w:rPr>
      <w:sz w:val="28"/>
    </w:rPr>
  </w:style>
  <w:style w:type="paragraph" w:styleId="BodyText2">
    <w:name w:val="Body Text 2"/>
    <w:basedOn w:val="Normal"/>
    <w:rsid w:val="00136C79"/>
    <w:pPr>
      <w:jc w:val="center"/>
    </w:pPr>
    <w:rPr>
      <w:b/>
      <w:sz w:val="28"/>
    </w:rPr>
  </w:style>
  <w:style w:type="paragraph" w:styleId="BalloonText">
    <w:name w:val="Balloon Text"/>
    <w:basedOn w:val="Normal"/>
    <w:link w:val="BalloonTextChar"/>
    <w:rsid w:val="009D5468"/>
    <w:rPr>
      <w:rFonts w:ascii="Tahoma" w:hAnsi="Tahoma" w:cs="Tahoma"/>
      <w:sz w:val="16"/>
      <w:szCs w:val="16"/>
    </w:rPr>
  </w:style>
  <w:style w:type="character" w:customStyle="1" w:styleId="BalloonTextChar">
    <w:name w:val="Balloon Text Char"/>
    <w:link w:val="BalloonText"/>
    <w:rsid w:val="009D5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HOME</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subject/>
  <dc:creator>User</dc:creator>
  <cp:keywords/>
  <dc:description/>
  <cp:lastModifiedBy>Truong Cong Nguyen Thanh</cp:lastModifiedBy>
  <cp:revision>2</cp:revision>
  <cp:lastPrinted>2013-12-26T08:27:00Z</cp:lastPrinted>
  <dcterms:created xsi:type="dcterms:W3CDTF">2021-04-20T07:07:00Z</dcterms:created>
  <dcterms:modified xsi:type="dcterms:W3CDTF">2021-04-20T07:07:00Z</dcterms:modified>
</cp:coreProperties>
</file>