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8" w:type="dxa"/>
        <w:tblLook w:val="04A0" w:firstRow="1" w:lastRow="0" w:firstColumn="1" w:lastColumn="0" w:noHBand="0" w:noVBand="1"/>
      </w:tblPr>
      <w:tblGrid>
        <w:gridCol w:w="3553"/>
        <w:gridCol w:w="5915"/>
      </w:tblGrid>
      <w:tr w:rsidR="0099431D" w:rsidRPr="00472F37">
        <w:trPr>
          <w:trHeight w:val="273"/>
        </w:trPr>
        <w:tc>
          <w:tcPr>
            <w:tcW w:w="3553" w:type="dxa"/>
          </w:tcPr>
          <w:p w:rsidR="0099431D" w:rsidRPr="00472F37" w:rsidRDefault="0099431D" w:rsidP="00325D81">
            <w:pPr>
              <w:pStyle w:val="Center1"/>
            </w:pPr>
            <w:r w:rsidRPr="00472F37">
              <w:rPr>
                <w:lang w:val="vi-VN"/>
              </w:rPr>
              <w:t>ỦY BAN NHÂN DÂN</w:t>
            </w:r>
          </w:p>
        </w:tc>
        <w:tc>
          <w:tcPr>
            <w:tcW w:w="5915" w:type="dxa"/>
          </w:tcPr>
          <w:p w:rsidR="0099431D" w:rsidRPr="00472F37" w:rsidRDefault="0099431D" w:rsidP="00325D81">
            <w:pPr>
              <w:pStyle w:val="Center1"/>
            </w:pPr>
            <w:r w:rsidRPr="00472F37">
              <w:rPr>
                <w:lang w:val="vi-VN"/>
              </w:rPr>
              <w:t>CỘNG HÒA XÃ HỘI CHỦ NGHĨA VIỆT NAM</w:t>
            </w:r>
          </w:p>
        </w:tc>
      </w:tr>
      <w:tr w:rsidR="0099431D" w:rsidRPr="00472F37">
        <w:trPr>
          <w:trHeight w:val="460"/>
        </w:trPr>
        <w:tc>
          <w:tcPr>
            <w:tcW w:w="3553" w:type="dxa"/>
          </w:tcPr>
          <w:p w:rsidR="0099431D" w:rsidRPr="00472F37" w:rsidRDefault="00DE4763" w:rsidP="00325D81">
            <w:pPr>
              <w:pStyle w:val="Center1"/>
              <w:rPr>
                <w:lang w:val="vi-VN"/>
              </w:rPr>
            </w:pPr>
            <w:r>
              <w:rPr>
                <w:noProof/>
              </w:rPr>
              <mc:AlternateContent>
                <mc:Choice Requires="wps">
                  <w:drawing>
                    <wp:anchor distT="0" distB="0" distL="114300" distR="114300" simplePos="0" relativeHeight="251656192" behindDoc="0" locked="0" layoutInCell="1" allowOverlap="1">
                      <wp:simplePos x="0" y="0"/>
                      <wp:positionH relativeFrom="column">
                        <wp:posOffset>581025</wp:posOffset>
                      </wp:positionH>
                      <wp:positionV relativeFrom="paragraph">
                        <wp:posOffset>210185</wp:posOffset>
                      </wp:positionV>
                      <wp:extent cx="914400" cy="0"/>
                      <wp:effectExtent l="5715" t="12065" r="13335"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C974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6.55pt" to="117.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Qc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NPS1X3cAAAACAEAAA8AAABkcnMvZG93bnJldi54bWxMj81OwzAQhO9IvIO1SFwq6vyoCEKc&#10;CgG5caGAuG7jJYmI12nstoGnZxEHOO7MaPabcj27QR1oCr1nA+kyAUXceNtza+Dlub64AhUissXB&#10;Mxn4pADr6vSkxML6Iz/RYRNbJSUcCjTQxTgWWoemI4dh6Udi8d795DDKObXaTniUcjfoLEkutcOe&#10;5UOHI9111Hxs9s5AqF9pV38tmkXylreest394wMac342396AijTHvzD84As6VMK09Xu2QQ0GrtOV&#10;JA3keQpK/CxfibD9FXRV6v8Dqm8AAAD//wMAUEsBAi0AFAAGAAgAAAAhALaDOJL+AAAA4QEAABMA&#10;AAAAAAAAAAAAAAAAAAAAAFtDb250ZW50X1R5cGVzXS54bWxQSwECLQAUAAYACAAAACEAOP0h/9YA&#10;AACUAQAACwAAAAAAAAAAAAAAAAAvAQAAX3JlbHMvLnJlbHNQSwECLQAUAAYACAAAACEABhw0HBAC&#10;AAAnBAAADgAAAAAAAAAAAAAAAAAuAgAAZHJzL2Uyb0RvYy54bWxQSwECLQAUAAYACAAAACEA09LV&#10;fdwAAAAIAQAADwAAAAAAAAAAAAAAAABqBAAAZHJzL2Rvd25yZXYueG1sUEsFBgAAAAAEAAQA8wAA&#10;AHMFAAAAAA==&#10;"/>
                  </w:pict>
                </mc:Fallback>
              </mc:AlternateContent>
            </w:r>
            <w:r w:rsidR="0099431D" w:rsidRPr="00472F37">
              <w:t>TH</w:t>
            </w:r>
            <w:r w:rsidR="0099431D" w:rsidRPr="00472F37">
              <w:rPr>
                <w:rFonts w:hint="eastAsia"/>
              </w:rPr>
              <w:t>À</w:t>
            </w:r>
            <w:r w:rsidR="0099431D" w:rsidRPr="00472F37">
              <w:t>NH PHỐ ĐÀ NẴNG</w:t>
            </w:r>
          </w:p>
        </w:tc>
        <w:tc>
          <w:tcPr>
            <w:tcW w:w="5915" w:type="dxa"/>
          </w:tcPr>
          <w:p w:rsidR="0099431D" w:rsidRPr="00472F37" w:rsidRDefault="00DE4763" w:rsidP="00325D81">
            <w:pPr>
              <w:pStyle w:val="Center4"/>
              <w:rPr>
                <w:lang w:val="vi-VN"/>
              </w:rPr>
            </w:pPr>
            <w:r w:rsidRPr="00472F37">
              <w:rPr>
                <w:noProof/>
              </w:rPr>
              <mc:AlternateContent>
                <mc:Choice Requires="wps">
                  <w:drawing>
                    <wp:anchor distT="0" distB="0" distL="114300" distR="114300" simplePos="0" relativeHeight="251655168" behindDoc="0" locked="0" layoutInCell="1" allowOverlap="1">
                      <wp:simplePos x="0" y="0"/>
                      <wp:positionH relativeFrom="column">
                        <wp:posOffset>717550</wp:posOffset>
                      </wp:positionH>
                      <wp:positionV relativeFrom="paragraph">
                        <wp:posOffset>212725</wp:posOffset>
                      </wp:positionV>
                      <wp:extent cx="2148205" cy="0"/>
                      <wp:effectExtent l="7620" t="5080" r="6350" b="1397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56C9B" id="_x0000_t32" coordsize="21600,21600" o:spt="32" o:oned="t" path="m,l21600,21600e" filled="f">
                      <v:path arrowok="t" fillok="f" o:connecttype="none"/>
                      <o:lock v:ext="edit" shapetype="t"/>
                    </v:shapetype>
                    <v:shape id="AutoShape 2" o:spid="_x0000_s1026" type="#_x0000_t32" style="position:absolute;margin-left:56.5pt;margin-top:16.75pt;width:169.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sHQIAADs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RlGigzQ&#10;oqe91zEyykN5RuNKsKrV1oYE6VG9mGdNvzukdN0T1fFo/Hoy4JsFj+SNS7g4A0F242fNwIYAfqzV&#10;sbVDgIQqoGNsyenWEn70iMJjnhXzPAVu9KpLSHl1NNb5T1wPKAgVdt4S0fW+1kpB47XNYhhyeHY+&#10;0CLl1SFEVXojpIz9lwqNFV7M8ll0cFoKFpTBzNluV0uLDiRMUPxijqC5N7N6r1gE6zlh64vsiZBn&#10;GYJLFfAgMaBzkc4j8mORLtbz9byYFPnDelKkTTN52tTF5GGTfZw1H5q6brKfgVpWlL1gjKvA7jqu&#10;WfF343BZnPOg3Qb2VobkLXqsF5C9/iPp2NnQzPNY7DQ7be214zCh0fiyTWEF7u8g3+/86hcAAAD/&#10;/wMAUEsDBBQABgAIAAAAIQAbvkRH3gAAAAkBAAAPAAAAZHJzL2Rvd25yZXYueG1sTI/BTsMwEETv&#10;SPyDtUi9IOqkIagNcaqqEgeOtJW4uvGSpI3XUew0oV/PIg7lOLOj2Tf5erKtuGDvG0cK4nkEAql0&#10;pqFKwWH/9rQE4YMmo1tHqOAbPayL+7tcZ8aN9IGXXagEl5DPtII6hC6T0pc1Wu3nrkPi25frrQ4s&#10;+0qaXo9cblu5iKIXaXVD/KHWHW5rLM+7wSpAP6RxtFnZ6vB+HR8/F9fT2O2Vmj1Mm1cQAadwC8Mv&#10;PqNDwUxHN5DxomUdJ7wlKEiSFAQHntM4AXH8M2SRy/8Lih8AAAD//wMAUEsBAi0AFAAGAAgAAAAh&#10;ALaDOJL+AAAA4QEAABMAAAAAAAAAAAAAAAAAAAAAAFtDb250ZW50X1R5cGVzXS54bWxQSwECLQAU&#10;AAYACAAAACEAOP0h/9YAAACUAQAACwAAAAAAAAAAAAAAAAAvAQAAX3JlbHMvLnJlbHNQSwECLQAU&#10;AAYACAAAACEAEfl8rB0CAAA7BAAADgAAAAAAAAAAAAAAAAAuAgAAZHJzL2Uyb0RvYy54bWxQSwEC&#10;LQAUAAYACAAAACEAG75ER94AAAAJAQAADwAAAAAAAAAAAAAAAAB3BAAAZHJzL2Rvd25yZXYueG1s&#10;UEsFBgAAAAAEAAQA8wAAAIIFAAAAAA==&#10;"/>
                  </w:pict>
                </mc:Fallback>
              </mc:AlternateContent>
            </w:r>
            <w:r w:rsidR="0099431D" w:rsidRPr="00E73A97">
              <w:rPr>
                <w:lang w:val="vi-VN"/>
              </w:rPr>
              <w:t>Độc lập - Tự do - Hạnh phúc</w:t>
            </w:r>
          </w:p>
        </w:tc>
      </w:tr>
      <w:tr w:rsidR="0099431D" w:rsidRPr="00BB2D7F">
        <w:trPr>
          <w:trHeight w:val="80"/>
        </w:trPr>
        <w:tc>
          <w:tcPr>
            <w:tcW w:w="3553" w:type="dxa"/>
          </w:tcPr>
          <w:p w:rsidR="0099431D" w:rsidRPr="00A86D7F" w:rsidRDefault="00A86D7F" w:rsidP="00325D81">
            <w:pPr>
              <w:pStyle w:val="Center2"/>
              <w:rPr>
                <w:b/>
                <w:sz w:val="28"/>
                <w:szCs w:val="28"/>
              </w:rPr>
            </w:pPr>
            <w:r w:rsidRPr="00A86D7F">
              <w:rPr>
                <w:sz w:val="28"/>
                <w:szCs w:val="28"/>
              </w:rPr>
              <w:t>Số:</w:t>
            </w:r>
            <w:r w:rsidR="00A8170B">
              <w:rPr>
                <w:sz w:val="28"/>
                <w:szCs w:val="28"/>
              </w:rPr>
              <w:t xml:space="preserve"> </w:t>
            </w:r>
            <w:r w:rsidRPr="00A86D7F">
              <w:rPr>
                <w:sz w:val="28"/>
                <w:szCs w:val="28"/>
              </w:rPr>
              <w:t>30</w:t>
            </w:r>
            <w:r w:rsidR="0099431D" w:rsidRPr="00A86D7F">
              <w:rPr>
                <w:sz w:val="28"/>
                <w:szCs w:val="28"/>
              </w:rPr>
              <w:t>/</w:t>
            </w:r>
            <w:r w:rsidR="00A22F7A" w:rsidRPr="00A86D7F">
              <w:rPr>
                <w:sz w:val="28"/>
                <w:szCs w:val="28"/>
              </w:rPr>
              <w:t>2012/</w:t>
            </w:r>
            <w:r w:rsidR="0099431D" w:rsidRPr="00A86D7F">
              <w:rPr>
                <w:sz w:val="28"/>
                <w:szCs w:val="28"/>
                <w:lang w:val="vi-VN"/>
              </w:rPr>
              <w:t>QĐ-UBND</w:t>
            </w:r>
          </w:p>
        </w:tc>
        <w:tc>
          <w:tcPr>
            <w:tcW w:w="5915" w:type="dxa"/>
          </w:tcPr>
          <w:p w:rsidR="0099431D" w:rsidRPr="00A86D7F" w:rsidRDefault="0099431D" w:rsidP="00325D81">
            <w:pPr>
              <w:pStyle w:val="Center2"/>
              <w:rPr>
                <w:b/>
                <w:i/>
                <w:iCs/>
                <w:sz w:val="28"/>
                <w:szCs w:val="28"/>
              </w:rPr>
            </w:pPr>
            <w:r>
              <w:tab/>
            </w:r>
            <w:r w:rsidR="00A86D7F">
              <w:t xml:space="preserve">      </w:t>
            </w:r>
            <w:r w:rsidR="00A86D7F" w:rsidRPr="00A86D7F">
              <w:rPr>
                <w:i/>
                <w:sz w:val="28"/>
                <w:szCs w:val="28"/>
                <w:lang w:val="vi-VN"/>
              </w:rPr>
              <w:t xml:space="preserve">Đà Nẵng, ngày </w:t>
            </w:r>
            <w:r w:rsidRPr="00A86D7F">
              <w:rPr>
                <w:i/>
                <w:sz w:val="28"/>
                <w:szCs w:val="28"/>
                <w:lang w:val="vi-VN"/>
              </w:rPr>
              <w:t xml:space="preserve"> </w:t>
            </w:r>
            <w:r w:rsidR="00A86D7F" w:rsidRPr="00A86D7F">
              <w:rPr>
                <w:i/>
                <w:sz w:val="28"/>
                <w:szCs w:val="28"/>
              </w:rPr>
              <w:t xml:space="preserve">26 </w:t>
            </w:r>
            <w:r w:rsidRPr="00A86D7F">
              <w:rPr>
                <w:i/>
                <w:sz w:val="28"/>
                <w:szCs w:val="28"/>
                <w:lang w:val="vi-VN"/>
              </w:rPr>
              <w:t xml:space="preserve"> tháng </w:t>
            </w:r>
            <w:r w:rsidR="00A86D7F" w:rsidRPr="00A86D7F">
              <w:rPr>
                <w:i/>
                <w:sz w:val="28"/>
                <w:szCs w:val="28"/>
              </w:rPr>
              <w:t xml:space="preserve">7 </w:t>
            </w:r>
            <w:r w:rsidRPr="00A86D7F">
              <w:rPr>
                <w:i/>
                <w:sz w:val="28"/>
                <w:szCs w:val="28"/>
              </w:rPr>
              <w:t xml:space="preserve"> </w:t>
            </w:r>
            <w:r w:rsidRPr="00A86D7F">
              <w:rPr>
                <w:i/>
                <w:sz w:val="28"/>
                <w:szCs w:val="28"/>
                <w:lang w:val="vi-VN"/>
              </w:rPr>
              <w:t>năm 201</w:t>
            </w:r>
            <w:r w:rsidR="00B86089" w:rsidRPr="00A86D7F">
              <w:rPr>
                <w:i/>
                <w:sz w:val="28"/>
                <w:szCs w:val="28"/>
              </w:rPr>
              <w:t>2</w:t>
            </w:r>
          </w:p>
        </w:tc>
      </w:tr>
    </w:tbl>
    <w:p w:rsidR="0099431D" w:rsidRPr="00CA56CD" w:rsidRDefault="0099431D" w:rsidP="00D6737B">
      <w:pPr>
        <w:rPr>
          <w:szCs w:val="28"/>
        </w:rPr>
      </w:pPr>
    </w:p>
    <w:p w:rsidR="0099431D" w:rsidRPr="00472F37" w:rsidRDefault="0099431D" w:rsidP="0099431D">
      <w:pPr>
        <w:pStyle w:val="Center4"/>
        <w:rPr>
          <w:lang w:val="vi-VN"/>
        </w:rPr>
      </w:pPr>
      <w:r w:rsidRPr="00472F37">
        <w:rPr>
          <w:lang w:val="vi-VN"/>
        </w:rPr>
        <w:t>QUYẾT ĐỊNH</w:t>
      </w:r>
    </w:p>
    <w:p w:rsidR="0099431D" w:rsidRPr="00472F37" w:rsidRDefault="00A22F7A" w:rsidP="0099431D">
      <w:pPr>
        <w:pStyle w:val="Center4"/>
        <w:rPr>
          <w:lang w:val="vi-VN"/>
        </w:rPr>
      </w:pPr>
      <w:r>
        <w:t>Ban hành Quy định một số c</w:t>
      </w:r>
      <w:r w:rsidR="00AE2FBE" w:rsidRPr="004046F9">
        <w:t>hính sách hỗ trợ doanh nghiệp xuất khẩu</w:t>
      </w:r>
      <w:r>
        <w:br/>
      </w:r>
      <w:r w:rsidR="00AE2FBE" w:rsidRPr="004046F9">
        <w:t>phần mềm</w:t>
      </w:r>
      <w:r>
        <w:t xml:space="preserve"> </w:t>
      </w:r>
      <w:r w:rsidR="00AE2FBE" w:rsidRPr="004046F9">
        <w:t>trên địa bàn thành phố Đà Nẵng</w:t>
      </w:r>
      <w:r w:rsidR="0099431D" w:rsidRPr="00472F37">
        <w:rPr>
          <w:lang w:val="vi-VN"/>
        </w:rPr>
        <w:t xml:space="preserve"> </w:t>
      </w:r>
    </w:p>
    <w:p w:rsidR="00A22F7A" w:rsidRDefault="00DE4763" w:rsidP="00A22F7A">
      <w:r w:rsidRPr="00472F37">
        <w:rPr>
          <w:noProof/>
        </w:rPr>
        <mc:AlternateContent>
          <mc:Choice Requires="wps">
            <w:drawing>
              <wp:anchor distT="0" distB="0" distL="114300" distR="114300" simplePos="0" relativeHeight="251659264" behindDoc="0" locked="0" layoutInCell="1" allowOverlap="1">
                <wp:simplePos x="0" y="0"/>
                <wp:positionH relativeFrom="column">
                  <wp:posOffset>2114550</wp:posOffset>
                </wp:positionH>
                <wp:positionV relativeFrom="paragraph">
                  <wp:posOffset>53975</wp:posOffset>
                </wp:positionV>
                <wp:extent cx="1592580" cy="0"/>
                <wp:effectExtent l="5715" t="7620" r="11430"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D62E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25pt" to="291.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fY9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hNF5PpHESjgy8hxZBorPOfue5QMEosgXMEJqet84EIKYaQcI/SGyFl&#10;FFsq1Jd4MZ1MY4LTUrDgDGHOHvaVtOhEwrjEL1YFnscwq4+KRbCWE7a+2Z4IebXhcqkCHpQCdG7W&#10;dR5+LNLFer6e56N8MluP8rSuR582VT6abbKP0/pDXVV19jNQy/KiFYxxFdgNs5nlf6f97ZVcp+o+&#10;nfc2JG/RY7+A7PCPpKOWQb7rIOw1u+zsoDGMYwy+PZ0w7497sB8f+OoXAAAA//8DAFBLAwQUAAYA&#10;CAAAACEApZR+DdsAAAAHAQAADwAAAGRycy9kb3ducmV2LnhtbEyPwU7DMBBE70j8g7VIXKrWoVFR&#10;lMapEJAbF1oQ1228JBHxOo3dNvD1LFzgOJrRzJtiM7lenWgMnWcDN4sEFHHtbceNgZddNc9AhYhs&#10;sfdMBj4pwKa8vCgwt/7Mz3TaxkZJCYccDbQxDrnWoW7JYVj4gVi8dz86jCLHRtsRz1Luer1Mklvt&#10;sGNZaHGg+5bqj+3RGQjVKx2qr1k9S97SxtPy8PD0iMZcX013a1CRpvgXhh98QYdSmPb+yDao3kCa&#10;pvIlGshWoMRfZalc2f9qXRb6P3/5DQAA//8DAFBLAQItABQABgAIAAAAIQC2gziS/gAAAOEBAAAT&#10;AAAAAAAAAAAAAAAAAAAAAABbQ29udGVudF9UeXBlc10ueG1sUEsBAi0AFAAGAAgAAAAhADj9If/W&#10;AAAAlAEAAAsAAAAAAAAAAAAAAAAALwEAAF9yZWxzLy5yZWxzUEsBAi0AFAAGAAgAAAAhACzt9j0S&#10;AgAAKAQAAA4AAAAAAAAAAAAAAAAALgIAAGRycy9lMm9Eb2MueG1sUEsBAi0AFAAGAAgAAAAhAKWU&#10;fg3bAAAABwEAAA8AAAAAAAAAAAAAAAAAbAQAAGRycy9kb3ducmV2LnhtbFBLBQYAAAAABAAEAPMA&#10;AAB0BQAAAAA=&#10;"/>
            </w:pict>
          </mc:Fallback>
        </mc:AlternateContent>
      </w:r>
    </w:p>
    <w:p w:rsidR="0099431D" w:rsidRPr="00472F37" w:rsidRDefault="0099431D" w:rsidP="00A22F7A">
      <w:pPr>
        <w:rPr>
          <w:lang w:val="vi-VN"/>
        </w:rPr>
      </w:pPr>
    </w:p>
    <w:p w:rsidR="0099431D" w:rsidRPr="00E73A97" w:rsidRDefault="0099431D" w:rsidP="0099431D">
      <w:pPr>
        <w:pStyle w:val="Center4"/>
        <w:rPr>
          <w:lang w:val="vi-VN"/>
        </w:rPr>
      </w:pPr>
      <w:r w:rsidRPr="00472F37">
        <w:rPr>
          <w:lang w:val="vi-VN"/>
        </w:rPr>
        <w:t>ỦY BAN NHÂN DÂN THÀNH PHỐ ĐÀ NẴNG</w:t>
      </w:r>
    </w:p>
    <w:p w:rsidR="0099431D" w:rsidRPr="00E73A97" w:rsidRDefault="0099431D" w:rsidP="0099431D">
      <w:pPr>
        <w:rPr>
          <w:sz w:val="22"/>
          <w:szCs w:val="22"/>
          <w:lang w:val="vi-VN"/>
        </w:rPr>
      </w:pPr>
    </w:p>
    <w:p w:rsidR="0099431D" w:rsidRPr="00E73A97" w:rsidRDefault="0099431D" w:rsidP="002F1AAA">
      <w:pPr>
        <w:pStyle w:val="Para"/>
        <w:rPr>
          <w:lang w:val="vi-VN"/>
        </w:rPr>
      </w:pPr>
      <w:r w:rsidRPr="00E73A97">
        <w:rPr>
          <w:lang w:val="vi-VN"/>
        </w:rPr>
        <w:t>Căn cứ Luật Tổ chức Hội đồng nhân dân và Ủy ban nhân dân ngày 26 tháng 11 năm 2003;</w:t>
      </w:r>
    </w:p>
    <w:p w:rsidR="00AE2FBE" w:rsidRPr="00E73A97" w:rsidRDefault="00942E5E" w:rsidP="008C1C95">
      <w:pPr>
        <w:pStyle w:val="Para"/>
        <w:rPr>
          <w:lang w:val="vi-VN"/>
        </w:rPr>
      </w:pPr>
      <w:r w:rsidRPr="00E73A97">
        <w:rPr>
          <w:lang w:val="vi-VN"/>
        </w:rPr>
        <w:t xml:space="preserve">Căn cứ Quyết định số 246/2005/QĐ-TTg ngày 06 tháng 10 năm 2005 của Thủ tướng Chính phủ phê duyệt Chiến lược phát triển công nghệ thông tin </w:t>
      </w:r>
      <w:r w:rsidR="00AE5FEA">
        <w:t>v</w:t>
      </w:r>
      <w:r w:rsidRPr="00E73A97">
        <w:rPr>
          <w:lang w:val="vi-VN"/>
        </w:rPr>
        <w:t>à truyền thông Việt Nam đến năm 2010 và định hướng đến năm 2020;</w:t>
      </w:r>
    </w:p>
    <w:p w:rsidR="0099431D" w:rsidRPr="00E73A97" w:rsidRDefault="0099431D" w:rsidP="008C1C95">
      <w:pPr>
        <w:pStyle w:val="Para"/>
        <w:rPr>
          <w:lang w:val="vi-VN"/>
        </w:rPr>
      </w:pPr>
      <w:r w:rsidRPr="00E73A97">
        <w:rPr>
          <w:lang w:val="vi-VN"/>
        </w:rPr>
        <w:t xml:space="preserve">Theo đề nghị của Giám đốc Sở </w:t>
      </w:r>
      <w:r w:rsidR="00AE2FBE" w:rsidRPr="00E73A97">
        <w:rPr>
          <w:lang w:val="vi-VN"/>
        </w:rPr>
        <w:t>Thông tin và Truyền thông</w:t>
      </w:r>
      <w:r w:rsidRPr="00E73A97">
        <w:rPr>
          <w:lang w:val="vi-VN"/>
        </w:rPr>
        <w:t>,</w:t>
      </w:r>
    </w:p>
    <w:p w:rsidR="0099431D" w:rsidRPr="00E73A97" w:rsidRDefault="0099431D" w:rsidP="00A22F7A">
      <w:pPr>
        <w:rPr>
          <w:lang w:val="vi-VN"/>
        </w:rPr>
      </w:pPr>
    </w:p>
    <w:p w:rsidR="0099431D" w:rsidRPr="00E73A97" w:rsidRDefault="0099431D" w:rsidP="0099431D">
      <w:pPr>
        <w:pStyle w:val="Center4"/>
        <w:rPr>
          <w:lang w:val="vi-VN"/>
        </w:rPr>
      </w:pPr>
      <w:r w:rsidRPr="00472F37">
        <w:rPr>
          <w:lang w:val="vi-VN"/>
        </w:rPr>
        <w:t>QUYẾT ĐỊNH:</w:t>
      </w:r>
    </w:p>
    <w:p w:rsidR="0099431D" w:rsidRPr="00421BB5" w:rsidRDefault="0099431D" w:rsidP="0099431D">
      <w:pPr>
        <w:rPr>
          <w:sz w:val="22"/>
          <w:szCs w:val="22"/>
          <w:lang w:val="vi-VN"/>
        </w:rPr>
      </w:pPr>
    </w:p>
    <w:p w:rsidR="00A80F62" w:rsidRPr="00E73A97" w:rsidRDefault="0099431D" w:rsidP="002F1AAA">
      <w:pPr>
        <w:pStyle w:val="Para"/>
        <w:rPr>
          <w:lang w:val="vi-VN"/>
        </w:rPr>
      </w:pPr>
      <w:r w:rsidRPr="00472F37">
        <w:rPr>
          <w:b/>
          <w:lang w:val="vi-VN"/>
        </w:rPr>
        <w:t xml:space="preserve">Điều 1. </w:t>
      </w:r>
      <w:r w:rsidRPr="00472F37">
        <w:rPr>
          <w:lang w:val="vi-VN"/>
        </w:rPr>
        <w:t>Ban hành kèm the</w:t>
      </w:r>
      <w:r w:rsidRPr="00E73A97">
        <w:rPr>
          <w:lang w:val="vi-VN"/>
        </w:rPr>
        <w:t>o</w:t>
      </w:r>
      <w:r w:rsidRPr="00472F37">
        <w:rPr>
          <w:lang w:val="vi-VN"/>
        </w:rPr>
        <w:t xml:space="preserve"> Quyết định này Quy định </w:t>
      </w:r>
      <w:r w:rsidR="00654520">
        <w:t>một số c</w:t>
      </w:r>
      <w:r w:rsidRPr="00472F37">
        <w:rPr>
          <w:lang w:val="vi-VN"/>
        </w:rPr>
        <w:t xml:space="preserve">hính sách </w:t>
      </w:r>
      <w:r w:rsidR="002F1AAA" w:rsidRPr="00E73A97">
        <w:rPr>
          <w:lang w:val="vi-VN"/>
        </w:rPr>
        <w:t>hỗ trợ doanh nghiệp xuất khẩu phần mềm trên địa bàn thành phố Đà Nẵng</w:t>
      </w:r>
      <w:r w:rsidRPr="00472F37">
        <w:rPr>
          <w:lang w:val="vi-VN"/>
        </w:rPr>
        <w:t>.</w:t>
      </w:r>
    </w:p>
    <w:p w:rsidR="0099431D" w:rsidRPr="00472F37" w:rsidRDefault="0099431D" w:rsidP="002F1AAA">
      <w:pPr>
        <w:pStyle w:val="Para"/>
        <w:rPr>
          <w:lang w:val="vi-VN"/>
        </w:rPr>
      </w:pPr>
      <w:r w:rsidRPr="00472F37">
        <w:rPr>
          <w:b/>
          <w:lang w:val="vi-VN"/>
        </w:rPr>
        <w:t xml:space="preserve">Điều 2. </w:t>
      </w:r>
      <w:r w:rsidRPr="00472F37">
        <w:rPr>
          <w:lang w:val="vi-VN"/>
        </w:rPr>
        <w:t xml:space="preserve">Giám đốc Sở </w:t>
      </w:r>
      <w:r w:rsidR="002F1AAA" w:rsidRPr="00E73A97">
        <w:rPr>
          <w:lang w:val="vi-VN"/>
        </w:rPr>
        <w:t xml:space="preserve">Thông tin và Truyền thông </w:t>
      </w:r>
      <w:r w:rsidRPr="00472F37">
        <w:rPr>
          <w:lang w:val="vi-VN"/>
        </w:rPr>
        <w:t xml:space="preserve">chịu trách nhiệm </w:t>
      </w:r>
      <w:r w:rsidR="00314EE5" w:rsidRPr="00E73A97">
        <w:rPr>
          <w:lang w:val="vi-VN"/>
        </w:rPr>
        <w:t xml:space="preserve">tổ chức </w:t>
      </w:r>
      <w:r w:rsidRPr="00472F37">
        <w:rPr>
          <w:lang w:val="vi-VN"/>
        </w:rPr>
        <w:t>hướng dẫn</w:t>
      </w:r>
      <w:r w:rsidR="00314EE5" w:rsidRPr="00E73A97">
        <w:rPr>
          <w:lang w:val="vi-VN"/>
        </w:rPr>
        <w:t xml:space="preserve"> triển khai</w:t>
      </w:r>
      <w:r w:rsidR="002F1AAA" w:rsidRPr="00E73A97">
        <w:rPr>
          <w:lang w:val="vi-VN"/>
        </w:rPr>
        <w:t>, kiểm tra</w:t>
      </w:r>
      <w:r w:rsidRPr="00472F37">
        <w:rPr>
          <w:lang w:val="vi-VN"/>
        </w:rPr>
        <w:t xml:space="preserve"> việc thực hiện Quyết định này. </w:t>
      </w:r>
      <w:r w:rsidRPr="00472F37">
        <w:rPr>
          <w:lang w:val="vi-VN"/>
        </w:rPr>
        <w:tab/>
      </w:r>
      <w:r w:rsidRPr="00472F37">
        <w:rPr>
          <w:lang w:val="vi-VN"/>
        </w:rPr>
        <w:tab/>
      </w:r>
    </w:p>
    <w:p w:rsidR="0099431D" w:rsidRPr="00472F37" w:rsidRDefault="0099431D" w:rsidP="002F1AAA">
      <w:pPr>
        <w:pStyle w:val="Para"/>
        <w:rPr>
          <w:lang w:val="vi-VN"/>
        </w:rPr>
      </w:pPr>
      <w:r w:rsidRPr="00472F37">
        <w:rPr>
          <w:b/>
          <w:lang w:val="vi-VN"/>
        </w:rPr>
        <w:t>Điều 3.</w:t>
      </w:r>
      <w:r w:rsidRPr="00472F37">
        <w:rPr>
          <w:lang w:val="vi-VN"/>
        </w:rPr>
        <w:t xml:space="preserve"> Quyết định này có hiệu lực </w:t>
      </w:r>
      <w:r w:rsidRPr="00E73A97">
        <w:rPr>
          <w:lang w:val="vi-VN"/>
        </w:rPr>
        <w:t xml:space="preserve">thi hành </w:t>
      </w:r>
      <w:r w:rsidR="00654520">
        <w:t xml:space="preserve">sau mười ngày </w:t>
      </w:r>
      <w:r w:rsidRPr="00472F37">
        <w:rPr>
          <w:lang w:val="vi-VN"/>
        </w:rPr>
        <w:t>kể từ ngày ký.</w:t>
      </w:r>
    </w:p>
    <w:p w:rsidR="0099431D" w:rsidRPr="00E73A97" w:rsidRDefault="0099431D" w:rsidP="007C74B5">
      <w:pPr>
        <w:pStyle w:val="Para"/>
        <w:rPr>
          <w:lang w:val="vi-VN"/>
        </w:rPr>
      </w:pPr>
      <w:r w:rsidRPr="00472F37">
        <w:rPr>
          <w:b/>
          <w:lang w:val="vi-VN"/>
        </w:rPr>
        <w:t>Điều 4.</w:t>
      </w:r>
      <w:r w:rsidRPr="00472F37">
        <w:rPr>
          <w:lang w:val="vi-VN"/>
        </w:rPr>
        <w:t xml:space="preserve"> Chánh Văn phòng UBND thành phố; Giám đốc</w:t>
      </w:r>
      <w:r w:rsidR="00A80F62" w:rsidRPr="00E73A97">
        <w:rPr>
          <w:lang w:val="vi-VN"/>
        </w:rPr>
        <w:t xml:space="preserve"> các</w:t>
      </w:r>
      <w:r w:rsidRPr="00472F37">
        <w:rPr>
          <w:lang w:val="vi-VN"/>
        </w:rPr>
        <w:t xml:space="preserve"> </w:t>
      </w:r>
      <w:r w:rsidR="002F1AAA" w:rsidRPr="00472F37">
        <w:rPr>
          <w:lang w:val="vi-VN"/>
        </w:rPr>
        <w:t>Sở</w:t>
      </w:r>
      <w:r w:rsidR="00A80F62" w:rsidRPr="00E73A97">
        <w:rPr>
          <w:lang w:val="vi-VN"/>
        </w:rPr>
        <w:t>:</w:t>
      </w:r>
      <w:r w:rsidR="002F1AAA" w:rsidRPr="00472F37">
        <w:rPr>
          <w:lang w:val="vi-VN"/>
        </w:rPr>
        <w:t xml:space="preserve"> </w:t>
      </w:r>
      <w:r w:rsidR="002F1AAA" w:rsidRPr="00E73A97">
        <w:rPr>
          <w:lang w:val="vi-VN"/>
        </w:rPr>
        <w:t>Thông tin và Truyền thông</w:t>
      </w:r>
      <w:r w:rsidRPr="00472F37">
        <w:rPr>
          <w:lang w:val="vi-VN"/>
        </w:rPr>
        <w:t xml:space="preserve">; </w:t>
      </w:r>
      <w:r w:rsidR="00A80F62" w:rsidRPr="00E73A97">
        <w:rPr>
          <w:lang w:val="vi-VN"/>
        </w:rPr>
        <w:t xml:space="preserve">Công thương; Xây dựng; Khoa học và Công nghệ; Kế hoạch và Đầu tư; Tài chính; </w:t>
      </w:r>
      <w:r w:rsidR="007C74B5" w:rsidRPr="00E73A97">
        <w:rPr>
          <w:lang w:val="vi-VN"/>
        </w:rPr>
        <w:t xml:space="preserve">Giám đốc Quỹ Đầu tư phát triển Đà Nẵng; </w:t>
      </w:r>
      <w:r w:rsidRPr="00472F37">
        <w:rPr>
          <w:lang w:val="vi-VN"/>
        </w:rPr>
        <w:t xml:space="preserve">Chủ tịch Ủy ban nhân dân các quận, huyện và </w:t>
      </w:r>
      <w:r w:rsidR="002F1AAA" w:rsidRPr="00E73A97">
        <w:rPr>
          <w:lang w:val="vi-VN"/>
        </w:rPr>
        <w:t>T</w:t>
      </w:r>
      <w:r w:rsidRPr="00472F37">
        <w:rPr>
          <w:lang w:val="vi-VN"/>
        </w:rPr>
        <w:t xml:space="preserve">hủ trưởng các cơ quan liên quan chịu trách nhiệm thi hành </w:t>
      </w:r>
      <w:r w:rsidR="002F1AAA" w:rsidRPr="00E73A97">
        <w:rPr>
          <w:lang w:val="vi-VN"/>
        </w:rPr>
        <w:t>Q</w:t>
      </w:r>
      <w:r w:rsidRPr="00472F37">
        <w:rPr>
          <w:lang w:val="vi-VN"/>
        </w:rPr>
        <w:t>uyết định này./.</w:t>
      </w:r>
    </w:p>
    <w:p w:rsidR="0099431D" w:rsidRPr="00D6737B" w:rsidRDefault="0099431D" w:rsidP="00E37342">
      <w:pPr>
        <w:rPr>
          <w:lang w:val="vi-VN"/>
        </w:rPr>
      </w:pPr>
    </w:p>
    <w:tbl>
      <w:tblPr>
        <w:tblW w:w="0" w:type="auto"/>
        <w:tblLook w:val="04A0" w:firstRow="1" w:lastRow="0" w:firstColumn="1" w:lastColumn="0" w:noHBand="0" w:noVBand="1"/>
      </w:tblPr>
      <w:tblGrid>
        <w:gridCol w:w="4586"/>
        <w:gridCol w:w="4704"/>
      </w:tblGrid>
      <w:tr w:rsidR="0099431D" w:rsidRPr="00472F37">
        <w:trPr>
          <w:trHeight w:val="80"/>
        </w:trPr>
        <w:tc>
          <w:tcPr>
            <w:tcW w:w="4586" w:type="dxa"/>
            <w:vAlign w:val="bottom"/>
          </w:tcPr>
          <w:p w:rsidR="0099431D" w:rsidRPr="00292197" w:rsidRDefault="0099431D" w:rsidP="00325D81">
            <w:pPr>
              <w:rPr>
                <w:sz w:val="24"/>
              </w:rPr>
            </w:pPr>
            <w:r w:rsidRPr="00292197">
              <w:rPr>
                <w:b/>
                <w:bCs/>
                <w:i/>
                <w:iCs/>
                <w:sz w:val="24"/>
                <w:lang w:val="vi-VN"/>
              </w:rPr>
              <w:t>:</w:t>
            </w:r>
          </w:p>
        </w:tc>
        <w:tc>
          <w:tcPr>
            <w:tcW w:w="4704" w:type="dxa"/>
          </w:tcPr>
          <w:p w:rsidR="0099431D" w:rsidRPr="002E7F39" w:rsidRDefault="0099431D" w:rsidP="002F1AAA">
            <w:pPr>
              <w:pStyle w:val="Center4"/>
            </w:pPr>
            <w:r w:rsidRPr="00472F37">
              <w:rPr>
                <w:lang w:val="vi-VN"/>
              </w:rPr>
              <w:t>TM. ỦY BAN NHÂN DÂN</w:t>
            </w:r>
          </w:p>
          <w:p w:rsidR="0099431D" w:rsidRPr="00292197" w:rsidRDefault="00A86D7F" w:rsidP="00325D81">
            <w:pPr>
              <w:pStyle w:val="Center4"/>
              <w:rPr>
                <w:rFonts w:ascii="Times New Roman" w:hAnsi="Times New Roman"/>
              </w:rPr>
            </w:pPr>
            <w:r>
              <w:rPr>
                <w:rFonts w:ascii="Times New Roman" w:hAnsi="Times New Roman"/>
              </w:rPr>
              <w:t xml:space="preserve">       </w:t>
            </w:r>
            <w:r w:rsidR="0099431D" w:rsidRPr="00472F37">
              <w:rPr>
                <w:lang w:val="vi-VN"/>
              </w:rPr>
              <w:t>CHỦ TỊCH</w:t>
            </w:r>
          </w:p>
        </w:tc>
      </w:tr>
      <w:tr w:rsidR="0099431D" w:rsidRPr="00472F37">
        <w:trPr>
          <w:trHeight w:val="80"/>
        </w:trPr>
        <w:tc>
          <w:tcPr>
            <w:tcW w:w="4586" w:type="dxa"/>
          </w:tcPr>
          <w:p w:rsidR="0099431D" w:rsidRPr="00472F37" w:rsidRDefault="0099431D" w:rsidP="00325D81">
            <w:pPr>
              <w:rPr>
                <w:b/>
                <w:bCs/>
                <w:i/>
                <w:iCs/>
                <w:lang w:val="vi-VN"/>
              </w:rPr>
            </w:pPr>
          </w:p>
        </w:tc>
        <w:tc>
          <w:tcPr>
            <w:tcW w:w="4704" w:type="dxa"/>
          </w:tcPr>
          <w:p w:rsidR="0099431D" w:rsidRPr="002E7F39" w:rsidRDefault="0099431D" w:rsidP="00325D81">
            <w:pPr>
              <w:pStyle w:val="Center4"/>
            </w:pPr>
          </w:p>
          <w:p w:rsidR="0099431D" w:rsidRPr="004452A5" w:rsidRDefault="0099431D" w:rsidP="00325D81">
            <w:pPr>
              <w:pStyle w:val="Center4"/>
            </w:pPr>
            <w:r>
              <w:tab/>
            </w:r>
            <w:r w:rsidR="0095007B">
              <w:t>Văn Hữu Chiến</w:t>
            </w:r>
          </w:p>
        </w:tc>
      </w:tr>
    </w:tbl>
    <w:p w:rsidR="002E1B51" w:rsidRDefault="002E1B51" w:rsidP="002F1AAA"/>
    <w:p w:rsidR="002E1B51" w:rsidRDefault="002E1B51" w:rsidP="002E1B51"/>
    <w:p w:rsidR="002E1B51" w:rsidRDefault="002E1B51">
      <w:r>
        <w:rPr>
          <w:b/>
        </w:rPr>
        <w:br w:type="page"/>
      </w:r>
      <w:bookmarkStart w:id="0" w:name="_GoBack"/>
      <w:bookmarkEnd w:id="0"/>
    </w:p>
    <w:tbl>
      <w:tblPr>
        <w:tblW w:w="9468" w:type="dxa"/>
        <w:tblLook w:val="0000" w:firstRow="0" w:lastRow="0" w:firstColumn="0" w:lastColumn="0" w:noHBand="0" w:noVBand="0"/>
      </w:tblPr>
      <w:tblGrid>
        <w:gridCol w:w="3509"/>
        <w:gridCol w:w="5959"/>
      </w:tblGrid>
      <w:tr w:rsidR="0099431D" w:rsidRPr="00E73A97">
        <w:tblPrEx>
          <w:tblCellMar>
            <w:top w:w="0" w:type="dxa"/>
            <w:bottom w:w="0" w:type="dxa"/>
          </w:tblCellMar>
        </w:tblPrEx>
        <w:trPr>
          <w:trHeight w:val="757"/>
        </w:trPr>
        <w:tc>
          <w:tcPr>
            <w:tcW w:w="3509" w:type="dxa"/>
          </w:tcPr>
          <w:p w:rsidR="0099431D" w:rsidRPr="00472F37" w:rsidRDefault="0099431D" w:rsidP="00325D81">
            <w:pPr>
              <w:pStyle w:val="Center1"/>
            </w:pPr>
            <w:r w:rsidRPr="00472F37">
              <w:rPr>
                <w:lang w:val="vi-VN"/>
              </w:rPr>
              <w:lastRenderedPageBreak/>
              <w:t xml:space="preserve">ỦY BAN NHÂN DÂN </w:t>
            </w:r>
          </w:p>
          <w:p w:rsidR="0099431D" w:rsidRPr="00472F37" w:rsidRDefault="00DE4763" w:rsidP="00325D81">
            <w:pPr>
              <w:pStyle w:val="Center1"/>
              <w:rPr>
                <w:lang w:val="vi-VN"/>
              </w:rPr>
            </w:pPr>
            <w:r w:rsidRPr="00472F37">
              <w:rPr>
                <w:iCs/>
                <w:noProof/>
              </w:rPr>
              <mc:AlternateContent>
                <mc:Choice Requires="wps">
                  <w:drawing>
                    <wp:anchor distT="0" distB="0" distL="114300" distR="114300" simplePos="0" relativeHeight="251658240" behindDoc="0" locked="0" layoutInCell="1" allowOverlap="1">
                      <wp:simplePos x="0" y="0"/>
                      <wp:positionH relativeFrom="column">
                        <wp:posOffset>633730</wp:posOffset>
                      </wp:positionH>
                      <wp:positionV relativeFrom="paragraph">
                        <wp:posOffset>217805</wp:posOffset>
                      </wp:positionV>
                      <wp:extent cx="796290" cy="0"/>
                      <wp:effectExtent l="10795" t="10160" r="12065"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FE7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7.15pt" to="11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x7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D4uJhNFqAZHVwJKYY8Y53/zHWHglFiCZQjLjk+Ox94kGIICdcovRFS&#10;Rq2lQn2JF9PJNCY4LQULzhDm7H5XSYuOJExL/GJR4LkPs/qgWARrOWHrq+2JkBcbLpcq4EElQOdq&#10;XcbhxyJdrOfreT7KJ7P1KE/revRpU+Wj2SZ7nNYPdVXV2c9ALcuLVjDGVWA3jGaW/53010dyGarb&#10;cN7akLxHj/0CssM/ko5SBvUuc7DT7Ly1g8QwjTH4+nLCuN/vwb5/36tfAAAA//8DAFBLAwQUAAYA&#10;CAAAACEAu2YLiN0AAAAIAQAADwAAAGRycy9kb3ducmV2LnhtbEyPwU7DMBBE70j8g7VIXKrWwaGI&#10;pnEqBOTGhZaK6zbeJhHxOo3dNvD1GHGA486MZt7mq9F24kSDbx1ruJklIIgrZ1quNbxtyuk9CB+Q&#10;DXaOScMneVgVlxc5Zsad+ZVO61CLWMI+Qw1NCH0mpa8asuhnrieO3t4NFkM8h1qaAc+x3HZSJcmd&#10;tNhyXGiwp8eGqo/10Wrw5ZYO5dekmiTvae1IHZ5enlHr66vxYQki0Bj+wvCDH9GhiEw7d2TjRadh&#10;sYjkQUN6m4KIvlJzBWL3K8gil/8fKL4BAAD//wMAUEsBAi0AFAAGAAgAAAAhALaDOJL+AAAA4QEA&#10;ABMAAAAAAAAAAAAAAAAAAAAAAFtDb250ZW50X1R5cGVzXS54bWxQSwECLQAUAAYACAAAACEAOP0h&#10;/9YAAACUAQAACwAAAAAAAAAAAAAAAAAvAQAAX3JlbHMvLnJlbHNQSwECLQAUAAYACAAAACEAa5Ec&#10;exICAAAnBAAADgAAAAAAAAAAAAAAAAAuAgAAZHJzL2Uyb0RvYy54bWxQSwECLQAUAAYACAAAACEA&#10;u2YLiN0AAAAIAQAADwAAAAAAAAAAAAAAAABsBAAAZHJzL2Rvd25yZXYueG1sUEsFBgAAAAAEAAQA&#10;8wAAAHYFAAAAAA==&#10;"/>
                  </w:pict>
                </mc:Fallback>
              </mc:AlternateContent>
            </w:r>
            <w:r w:rsidR="0099431D" w:rsidRPr="00472F37">
              <w:rPr>
                <w:lang w:val="vi-VN"/>
              </w:rPr>
              <w:t>TH</w:t>
            </w:r>
            <w:r w:rsidR="0099431D" w:rsidRPr="00472F37">
              <w:rPr>
                <w:rFonts w:hint="eastAsia"/>
                <w:lang w:val="vi-VN"/>
              </w:rPr>
              <w:t>À</w:t>
            </w:r>
            <w:r w:rsidR="0099431D" w:rsidRPr="00472F37">
              <w:rPr>
                <w:lang w:val="vi-VN"/>
              </w:rPr>
              <w:t>NH PHỐ ĐÀ NẴNG</w:t>
            </w:r>
          </w:p>
        </w:tc>
        <w:tc>
          <w:tcPr>
            <w:tcW w:w="5959" w:type="dxa"/>
          </w:tcPr>
          <w:p w:rsidR="0099431D" w:rsidRPr="00472F37" w:rsidRDefault="0099431D" w:rsidP="00325D81">
            <w:pPr>
              <w:pStyle w:val="Center1"/>
              <w:rPr>
                <w:lang w:val="vi-VN"/>
              </w:rPr>
            </w:pPr>
            <w:r w:rsidRPr="00472F37">
              <w:rPr>
                <w:lang w:val="vi-VN"/>
              </w:rPr>
              <w:t>CỘNG HÒA XÃ HỘI CHỦ NGHĨA VIỆT NAM</w:t>
            </w:r>
          </w:p>
          <w:p w:rsidR="0099431D" w:rsidRPr="00E73A97" w:rsidRDefault="00DE4763" w:rsidP="00325D81">
            <w:pPr>
              <w:pStyle w:val="Center4"/>
              <w:rPr>
                <w:lang w:val="vi-VN"/>
              </w:rPr>
            </w:pPr>
            <w:r w:rsidRPr="00472F37">
              <w:rPr>
                <w:noProof/>
              </w:rPr>
              <mc:AlternateContent>
                <mc:Choice Requires="wps">
                  <w:drawing>
                    <wp:anchor distT="0" distB="0" distL="114300" distR="114300" simplePos="0" relativeHeight="251657216" behindDoc="0" locked="0" layoutInCell="1" allowOverlap="1">
                      <wp:simplePos x="0" y="0"/>
                      <wp:positionH relativeFrom="column">
                        <wp:posOffset>752475</wp:posOffset>
                      </wp:positionH>
                      <wp:positionV relativeFrom="paragraph">
                        <wp:posOffset>217170</wp:posOffset>
                      </wp:positionV>
                      <wp:extent cx="2135505" cy="0"/>
                      <wp:effectExtent l="5080" t="9525" r="12065"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A633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7.1pt" to="227.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aJ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jKQ2cG40oIqNXWhtroSb2YjabfHVK67oja88jw9WwgLQsZyZuUsHEG8HfDZ80ghhy8jm06&#10;tbYPkNAAdIpqnO9q8JNHFA4n2VNRpA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OqKMON0AAAAJAQAADwAAAGRycy9kb3ducmV2LnhtbEyPwU7DMBBE70j8g7VIXCrqNE1R&#10;FeJUCMiNCwXEdRsvSUS8TmO3DXw9izjAcWafZmeKzeR6daQxdJ4NLOYJKOLa244bAy/P1dUaVIjI&#10;FnvPZOCTAmzK87MCc+tP/ETHbWyUhHDI0UAb45BrHeqWHIa5H4jl9u5Hh1Hk2Gg74knCXa/TJLnW&#10;DjuWDy0OdNdS/bE9OAOheqV99TWrZ8nbsvGU7u8fH9CYy4vp9gZUpCn+wfBTX6pDKZ12/sA2qF70&#10;Yr0S1MAyS0EJkK0y2bL7NXRZ6P8Lym8AAAD//wMAUEsBAi0AFAAGAAgAAAAhALaDOJL+AAAA4QEA&#10;ABMAAAAAAAAAAAAAAAAAAAAAAFtDb250ZW50X1R5cGVzXS54bWxQSwECLQAUAAYACAAAACEAOP0h&#10;/9YAAACUAQAACwAAAAAAAAAAAAAAAAAvAQAAX3JlbHMvLnJlbHNQSwECLQAUAAYACAAAACEAH3DW&#10;iRICAAAoBAAADgAAAAAAAAAAAAAAAAAuAgAAZHJzL2Uyb0RvYy54bWxQSwECLQAUAAYACAAAACEA&#10;OqKMON0AAAAJAQAADwAAAAAAAAAAAAAAAABsBAAAZHJzL2Rvd25yZXYueG1sUEsFBgAAAAAEAAQA&#10;8wAAAHYFAAAAAA==&#10;"/>
                  </w:pict>
                </mc:Fallback>
              </mc:AlternateContent>
            </w:r>
            <w:r w:rsidR="0099431D" w:rsidRPr="00E73A97">
              <w:rPr>
                <w:lang w:val="vi-VN"/>
              </w:rPr>
              <w:t>Độc lập - Tự do - Hạnh phúc</w:t>
            </w:r>
          </w:p>
        </w:tc>
      </w:tr>
    </w:tbl>
    <w:p w:rsidR="00412D99" w:rsidRPr="00E73A97" w:rsidRDefault="00412D99" w:rsidP="00314EE5">
      <w:pPr>
        <w:pStyle w:val="Para"/>
        <w:rPr>
          <w:lang w:val="vi-VN"/>
        </w:rPr>
      </w:pPr>
    </w:p>
    <w:p w:rsidR="00412D99" w:rsidRPr="00E73A97" w:rsidRDefault="00412D99" w:rsidP="00314EE5">
      <w:pPr>
        <w:pStyle w:val="Center4"/>
        <w:rPr>
          <w:lang w:val="vi-VN"/>
        </w:rPr>
      </w:pPr>
      <w:r w:rsidRPr="00E73A97">
        <w:rPr>
          <w:lang w:val="vi-VN"/>
        </w:rPr>
        <w:t>QUY ĐỊNH</w:t>
      </w:r>
    </w:p>
    <w:p w:rsidR="00412D99" w:rsidRPr="00E73A97" w:rsidRDefault="00CB4A1E" w:rsidP="0099431D">
      <w:pPr>
        <w:pStyle w:val="Center4"/>
        <w:rPr>
          <w:lang w:val="vi-VN"/>
        </w:rPr>
      </w:pPr>
      <w:r>
        <w:rPr>
          <w:rFonts w:ascii="Times New Roman" w:hAnsi="Times New Roman"/>
        </w:rPr>
        <w:t>M</w:t>
      </w:r>
      <w:r w:rsidR="00412D99" w:rsidRPr="00E73A97">
        <w:rPr>
          <w:lang w:val="vi-VN"/>
        </w:rPr>
        <w:t xml:space="preserve">ột số chính sách </w:t>
      </w:r>
      <w:r w:rsidR="00BB491E" w:rsidRPr="00E73A97">
        <w:rPr>
          <w:lang w:val="vi-VN"/>
        </w:rPr>
        <w:t>hỗ trợ doanh nghiệp xuất khẩu phần mềm</w:t>
      </w:r>
      <w:r w:rsidR="00314EE5" w:rsidRPr="00E73A97">
        <w:rPr>
          <w:lang w:val="vi-VN"/>
        </w:rPr>
        <w:br/>
      </w:r>
      <w:r w:rsidR="00412D99" w:rsidRPr="00E73A97">
        <w:rPr>
          <w:lang w:val="vi-VN"/>
        </w:rPr>
        <w:t>trên địa bàn thành phố Đà Nẵng</w:t>
      </w:r>
    </w:p>
    <w:p w:rsidR="00314EE5" w:rsidRPr="007F39FD" w:rsidRDefault="00314EE5" w:rsidP="00314EE5">
      <w:pPr>
        <w:rPr>
          <w:sz w:val="10"/>
          <w:szCs w:val="22"/>
        </w:rPr>
      </w:pPr>
    </w:p>
    <w:p w:rsidR="00412D99" w:rsidRPr="00A86D7F" w:rsidRDefault="00412D99" w:rsidP="00314EE5">
      <w:pPr>
        <w:pStyle w:val="Center2"/>
        <w:rPr>
          <w:sz w:val="28"/>
          <w:szCs w:val="28"/>
          <w:lang w:val="vi-VN"/>
        </w:rPr>
      </w:pPr>
      <w:r w:rsidRPr="00A86D7F">
        <w:rPr>
          <w:sz w:val="28"/>
          <w:szCs w:val="28"/>
          <w:lang w:val="vi-VN"/>
        </w:rPr>
        <w:t>(</w:t>
      </w:r>
      <w:r w:rsidRPr="00A86D7F">
        <w:rPr>
          <w:i/>
          <w:sz w:val="28"/>
          <w:szCs w:val="28"/>
          <w:lang w:val="vi-VN"/>
        </w:rPr>
        <w:t>Ban hành kèm theo Quyết định số</w:t>
      </w:r>
      <w:r w:rsidR="00A86D7F" w:rsidRPr="00A86D7F">
        <w:rPr>
          <w:i/>
          <w:sz w:val="28"/>
          <w:szCs w:val="28"/>
          <w:lang w:val="vi-VN"/>
        </w:rPr>
        <w:t>:</w:t>
      </w:r>
      <w:r w:rsidR="00A86D7F" w:rsidRPr="00A86D7F">
        <w:rPr>
          <w:i/>
          <w:sz w:val="28"/>
          <w:szCs w:val="28"/>
        </w:rPr>
        <w:t>30</w:t>
      </w:r>
      <w:r w:rsidRPr="00A86D7F">
        <w:rPr>
          <w:i/>
          <w:sz w:val="28"/>
          <w:szCs w:val="28"/>
          <w:lang w:val="vi-VN"/>
        </w:rPr>
        <w:t xml:space="preserve"> /</w:t>
      </w:r>
      <w:r w:rsidR="00F00325" w:rsidRPr="00A86D7F">
        <w:rPr>
          <w:i/>
          <w:sz w:val="28"/>
          <w:szCs w:val="28"/>
        </w:rPr>
        <w:t>2012/</w:t>
      </w:r>
      <w:r w:rsidRPr="00A86D7F">
        <w:rPr>
          <w:i/>
          <w:sz w:val="28"/>
          <w:szCs w:val="28"/>
          <w:lang w:val="vi-VN"/>
        </w:rPr>
        <w:t>QĐ-UBND</w:t>
      </w:r>
      <w:r w:rsidR="00C119F2" w:rsidRPr="00A86D7F">
        <w:rPr>
          <w:i/>
          <w:sz w:val="28"/>
          <w:szCs w:val="28"/>
        </w:rPr>
        <w:t xml:space="preserve"> </w:t>
      </w:r>
      <w:r w:rsidR="00A86D7F">
        <w:rPr>
          <w:i/>
          <w:sz w:val="28"/>
          <w:szCs w:val="28"/>
          <w:lang w:val="vi-VN"/>
        </w:rPr>
        <w:t>ngày</w:t>
      </w:r>
      <w:r w:rsidR="00A86D7F" w:rsidRPr="00A86D7F">
        <w:rPr>
          <w:i/>
          <w:sz w:val="28"/>
          <w:szCs w:val="28"/>
        </w:rPr>
        <w:t>26</w:t>
      </w:r>
      <w:r w:rsidR="00314EE5" w:rsidRPr="00A86D7F">
        <w:rPr>
          <w:i/>
          <w:sz w:val="28"/>
          <w:szCs w:val="28"/>
          <w:lang w:val="vi-VN"/>
        </w:rPr>
        <w:t xml:space="preserve"> </w:t>
      </w:r>
      <w:r w:rsidR="00A86D7F" w:rsidRPr="00A86D7F">
        <w:rPr>
          <w:i/>
          <w:sz w:val="28"/>
          <w:szCs w:val="28"/>
          <w:lang w:val="vi-VN"/>
        </w:rPr>
        <w:t>tháng</w:t>
      </w:r>
      <w:r w:rsidR="00A86D7F" w:rsidRPr="00A86D7F">
        <w:rPr>
          <w:i/>
          <w:sz w:val="28"/>
          <w:szCs w:val="28"/>
        </w:rPr>
        <w:t>7</w:t>
      </w:r>
      <w:r w:rsidR="00A86D7F">
        <w:rPr>
          <w:i/>
          <w:sz w:val="28"/>
          <w:szCs w:val="28"/>
        </w:rPr>
        <w:t xml:space="preserve"> </w:t>
      </w:r>
      <w:r w:rsidRPr="00A86D7F">
        <w:rPr>
          <w:i/>
          <w:sz w:val="28"/>
          <w:szCs w:val="28"/>
          <w:lang w:val="vi-VN"/>
        </w:rPr>
        <w:t>năm 20</w:t>
      </w:r>
      <w:r w:rsidR="00BB491E" w:rsidRPr="00A86D7F">
        <w:rPr>
          <w:i/>
          <w:sz w:val="28"/>
          <w:szCs w:val="28"/>
          <w:lang w:val="vi-VN"/>
        </w:rPr>
        <w:t>1</w:t>
      </w:r>
      <w:r w:rsidR="00C05457" w:rsidRPr="00A86D7F">
        <w:rPr>
          <w:i/>
          <w:sz w:val="28"/>
          <w:szCs w:val="28"/>
          <w:lang w:val="vi-VN"/>
        </w:rPr>
        <w:t>2</w:t>
      </w:r>
      <w:r w:rsidR="00A86D7F">
        <w:rPr>
          <w:i/>
          <w:sz w:val="28"/>
          <w:szCs w:val="28"/>
        </w:rPr>
        <w:t xml:space="preserve"> </w:t>
      </w:r>
      <w:r w:rsidRPr="00A86D7F">
        <w:rPr>
          <w:i/>
          <w:sz w:val="28"/>
          <w:szCs w:val="28"/>
          <w:lang w:val="vi-VN"/>
        </w:rPr>
        <w:t>của UBND thành phố Đà Nẵng</w:t>
      </w:r>
      <w:r w:rsidRPr="00A86D7F">
        <w:rPr>
          <w:sz w:val="28"/>
          <w:szCs w:val="28"/>
          <w:lang w:val="vi-VN"/>
        </w:rPr>
        <w:t>)</w:t>
      </w:r>
    </w:p>
    <w:p w:rsidR="00167ABE" w:rsidRDefault="00DE4763" w:rsidP="00167ABE">
      <w:pPr>
        <w:pStyle w:val="Center3"/>
      </w:pPr>
      <w:r>
        <w:rPr>
          <w:noProof/>
        </w:rPr>
        <mc:AlternateContent>
          <mc:Choice Requires="wps">
            <w:drawing>
              <wp:anchor distT="0" distB="0" distL="114300" distR="114300" simplePos="0" relativeHeight="251660288" behindDoc="0" locked="0" layoutInCell="1" allowOverlap="1">
                <wp:simplePos x="0" y="0"/>
                <wp:positionH relativeFrom="column">
                  <wp:posOffset>2247900</wp:posOffset>
                </wp:positionH>
                <wp:positionV relativeFrom="paragraph">
                  <wp:posOffset>46355</wp:posOffset>
                </wp:positionV>
                <wp:extent cx="1257300" cy="0"/>
                <wp:effectExtent l="5715" t="6350" r="13335" b="1270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152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3.65pt" to="2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o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NsMn18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M4doz9sAAAAHAQAADwAAAGRycy9kb3ducmV2LnhtbEyPQU+DQBCF7yb+h82YeGnsIoga&#10;ZGmMys2LVeN1yo5AZGcpu23RX+/oRY9f3uS9b8rV7Aa1pyn0ng2cLxNQxI23PbcGXp7rs2tQISJb&#10;HDyTgU8KsKqOj0osrD/wE+3XsVVSwqFAA12MY6F1aDpyGJZ+JJbs3U8Oo+DUajvhQcrdoNMkudQO&#10;e5aFDke666j5WO+cgVC/0rb+WjSL5C1rPaXb+8cHNOb0ZL69ARVpjn/H8KMv6lCJ08bv2AY1GMjy&#10;C/klGrjKQEme56nw5pd1Ver//tU3AAAA//8DAFBLAQItABQABgAIAAAAIQC2gziS/gAAAOEBAAAT&#10;AAAAAAAAAAAAAAAAAAAAAABbQ29udGVudF9UeXBlc10ueG1sUEsBAi0AFAAGAAgAAAAhADj9If/W&#10;AAAAlAEAAAsAAAAAAAAAAAAAAAAALwEAAF9yZWxzLy5yZWxzUEsBAi0AFAAGAAgAAAAhAJYrSigS&#10;AgAAKAQAAA4AAAAAAAAAAAAAAAAALgIAAGRycy9lMm9Eb2MueG1sUEsBAi0AFAAGAAgAAAAhADOH&#10;aM/bAAAABwEAAA8AAAAAAAAAAAAAAAAAbAQAAGRycy9kb3ducmV2LnhtbFBLBQYAAAAABAAEAPMA&#10;AAB0BQAAAAA=&#10;"/>
            </w:pict>
          </mc:Fallback>
        </mc:AlternateContent>
      </w:r>
    </w:p>
    <w:p w:rsidR="00412D99" w:rsidRPr="004046F9" w:rsidRDefault="00412D99" w:rsidP="00DB5B15">
      <w:pPr>
        <w:pStyle w:val="Heading1"/>
      </w:pPr>
      <w:r w:rsidRPr="004046F9">
        <w:t>Chương I</w:t>
      </w:r>
      <w:r w:rsidR="0099431D">
        <w:br/>
      </w:r>
      <w:r w:rsidRPr="004046F9">
        <w:t>QUY ĐỊNH CHUNG</w:t>
      </w:r>
    </w:p>
    <w:p w:rsidR="00DB5B15" w:rsidRPr="004046F9" w:rsidRDefault="00D04694" w:rsidP="00DB5B15">
      <w:pPr>
        <w:pStyle w:val="Heading2"/>
      </w:pPr>
      <w:r>
        <w:t>Điều 1. Phạm vi điều chỉnh</w:t>
      </w:r>
    </w:p>
    <w:p w:rsidR="00DB5B15" w:rsidRPr="004046F9" w:rsidRDefault="00DB5B15" w:rsidP="00DB5B15">
      <w:pPr>
        <w:pStyle w:val="Para"/>
      </w:pPr>
      <w:r w:rsidRPr="004046F9">
        <w:t>Quy định này quy định một số chính sách</w:t>
      </w:r>
      <w:r>
        <w:t>, cơ chế</w:t>
      </w:r>
      <w:r w:rsidRPr="004046F9">
        <w:t xml:space="preserve"> nhằm hỗ trợ </w:t>
      </w:r>
      <w:r w:rsidR="00F00325">
        <w:t>các doanh nghiệp xuất khẩu</w:t>
      </w:r>
      <w:r w:rsidRPr="004046F9">
        <w:t xml:space="preserve"> phần mềm trên địa bàn thành phố Đà Nẵng.</w:t>
      </w:r>
    </w:p>
    <w:p w:rsidR="00DB5B15" w:rsidRPr="004046F9" w:rsidRDefault="003C7B7E" w:rsidP="00194790">
      <w:pPr>
        <w:pStyle w:val="Heading2"/>
      </w:pPr>
      <w:r>
        <w:t>Điều 2. Đối tượng áp dụng</w:t>
      </w:r>
    </w:p>
    <w:p w:rsidR="00DB5B15" w:rsidRPr="004046F9" w:rsidRDefault="00DB5B15" w:rsidP="00194790">
      <w:pPr>
        <w:pStyle w:val="Para"/>
      </w:pPr>
      <w:r w:rsidRPr="004046F9">
        <w:t>Quy định này áp dụng đối với tổ chức, doanh nghiệp (gọi chung là doanh nghiệp) trên địa bàn thành phố</w:t>
      </w:r>
      <w:r w:rsidRPr="004046F9">
        <w:rPr>
          <w:bCs/>
        </w:rPr>
        <w:t xml:space="preserve"> Đà Nẵng</w:t>
      </w:r>
      <w:r w:rsidRPr="004046F9">
        <w:t xml:space="preserve"> tham gia hoạt động xuất khẩu phần mềm. </w:t>
      </w:r>
    </w:p>
    <w:p w:rsidR="00DB5B15" w:rsidRPr="004046F9" w:rsidRDefault="00DB5B15" w:rsidP="00194790">
      <w:pPr>
        <w:pStyle w:val="Heading2"/>
      </w:pPr>
      <w:r w:rsidRPr="004046F9">
        <w:t>Điều 3. Nguyên tắc áp dụng</w:t>
      </w:r>
    </w:p>
    <w:p w:rsidR="00DB5B15" w:rsidRPr="004046F9" w:rsidRDefault="00BC7B6C" w:rsidP="00194790">
      <w:pPr>
        <w:pStyle w:val="Para"/>
      </w:pPr>
      <w:r>
        <w:t xml:space="preserve">1. </w:t>
      </w:r>
      <w:r w:rsidR="00DB5B15" w:rsidRPr="004046F9">
        <w:t>Doanh nghiệp xuất khẩu phần mềm được hưởng ưu đãi theo Quy định này, trừ trường hợp doanh nghiệp đã được hỗ trợ các ưu đãi có cùng nội dung</w:t>
      </w:r>
      <w:r w:rsidR="00DB5B15">
        <w:t xml:space="preserve"> từ ngân sách nhà nước. Nguyên tắc này không áp dụng trong trường hợp hỗ trợ tại khoản </w:t>
      </w:r>
      <w:r>
        <w:t>3</w:t>
      </w:r>
      <w:r w:rsidR="00DB5B15">
        <w:t xml:space="preserve">, Điều </w:t>
      </w:r>
      <w:r w:rsidR="004462F1">
        <w:t>6</w:t>
      </w:r>
      <w:r w:rsidR="00DB5B15">
        <w:t xml:space="preserve"> tại Quy định này</w:t>
      </w:r>
      <w:r w:rsidR="00DB5B15" w:rsidRPr="004046F9">
        <w:t>.</w:t>
      </w:r>
    </w:p>
    <w:p w:rsidR="00DB5B15" w:rsidRDefault="00BC7B6C" w:rsidP="008D4670">
      <w:pPr>
        <w:pStyle w:val="Para"/>
      </w:pPr>
      <w:r>
        <w:t xml:space="preserve">2. </w:t>
      </w:r>
      <w:r w:rsidR="00DB5B15" w:rsidRPr="004046F9">
        <w:t>Các doanh nghiệp hoạt động trên nhiều lĩnh vực khác nhau thì chỉ được hưởng các chính sách trong Quy định này đối với các hoạt động xuất khẩu phần mềm.</w:t>
      </w:r>
    </w:p>
    <w:p w:rsidR="00DB5B15" w:rsidRPr="009238CF" w:rsidRDefault="00DB5B15" w:rsidP="008D4670">
      <w:pPr>
        <w:pStyle w:val="Heading2"/>
      </w:pPr>
      <w:r w:rsidRPr="009238CF">
        <w:t xml:space="preserve">Điều 4. Thuật ngữ sử dụng trong </w:t>
      </w:r>
      <w:r>
        <w:t>Q</w:t>
      </w:r>
      <w:r w:rsidRPr="009238CF">
        <w:t>uy định</w:t>
      </w:r>
    </w:p>
    <w:p w:rsidR="00DB5B15" w:rsidRPr="00830EEA" w:rsidRDefault="00DB5B15" w:rsidP="008D4670">
      <w:pPr>
        <w:pStyle w:val="Para"/>
      </w:pPr>
      <w:r w:rsidRPr="00830EEA">
        <w:t xml:space="preserve">Trong </w:t>
      </w:r>
      <w:r>
        <w:t>Q</w:t>
      </w:r>
      <w:r w:rsidRPr="00830EEA">
        <w:t>uy định này, các thuật ngữ dưới đây được hiểu như sau:</w:t>
      </w:r>
    </w:p>
    <w:p w:rsidR="00DB5B15" w:rsidRPr="004046F9" w:rsidRDefault="00DB5B15" w:rsidP="008D4670">
      <w:pPr>
        <w:pStyle w:val="Para"/>
      </w:pPr>
      <w:r>
        <w:t>1. Hoạt động x</w:t>
      </w:r>
      <w:r w:rsidRPr="004046F9">
        <w:t>uất khẩu phần mềm là hoạt động sản xuất và</w:t>
      </w:r>
      <w:r>
        <w:t xml:space="preserve"> gia công phần mềm để xuất khẩu;</w:t>
      </w:r>
    </w:p>
    <w:p w:rsidR="00DB5B15" w:rsidRDefault="00DB5B15" w:rsidP="008D4670">
      <w:pPr>
        <w:pStyle w:val="Para"/>
      </w:pPr>
      <w:r>
        <w:t>2. Cơ sở hạ tầng bao gồm mặt bằng và hạ tầng thông tin và truyền thông;</w:t>
      </w:r>
    </w:p>
    <w:p w:rsidR="00DB5B15" w:rsidRPr="00CB737D" w:rsidRDefault="00DB5B15" w:rsidP="008D4670">
      <w:pPr>
        <w:pStyle w:val="Para"/>
        <w:rPr>
          <w:bCs/>
        </w:rPr>
      </w:pPr>
      <w:r>
        <w:t xml:space="preserve">3. </w:t>
      </w:r>
      <w:r w:rsidRPr="00F92E53">
        <w:t>Chuẩn</w:t>
      </w:r>
      <w:r>
        <w:t xml:space="preserve"> quốc tế</w:t>
      </w:r>
      <w:r w:rsidRPr="00F92E53">
        <w:t xml:space="preserve"> CMMI </w:t>
      </w:r>
      <w:r>
        <w:t>(</w:t>
      </w:r>
      <w:r w:rsidRPr="00F92E53">
        <w:t>Capability Maturity Model Integration</w:t>
      </w:r>
      <w:r w:rsidR="007E7B1B">
        <w:t xml:space="preserve"> </w:t>
      </w:r>
      <w:r>
        <w:t>-</w:t>
      </w:r>
      <w:r w:rsidRPr="00B015C6">
        <w:t xml:space="preserve"> </w:t>
      </w:r>
      <w:r w:rsidRPr="00F92E53">
        <w:t>Mô hình trưởng thành năng lực tích hợp</w:t>
      </w:r>
      <w:r>
        <w:t>)</w:t>
      </w:r>
      <w:r w:rsidRPr="00F92E53">
        <w:t xml:space="preserve"> là </w:t>
      </w:r>
      <w:r>
        <w:t>chuẩn</w:t>
      </w:r>
      <w:r w:rsidRPr="00F92E53">
        <w:t xml:space="preserve"> </w:t>
      </w:r>
      <w:r>
        <w:t>về</w:t>
      </w:r>
      <w:r w:rsidRPr="00F92E53">
        <w:t xml:space="preserve"> </w:t>
      </w:r>
      <w:r>
        <w:t>quản lý</w:t>
      </w:r>
      <w:r w:rsidRPr="00F92E53">
        <w:t xml:space="preserve"> qu</w:t>
      </w:r>
      <w:r>
        <w:t>y</w:t>
      </w:r>
      <w:r w:rsidRPr="00F92E53">
        <w:t xml:space="preserve"> trình</w:t>
      </w:r>
      <w:r>
        <w:t xml:space="preserve"> chất lượng của các sản phẩm</w:t>
      </w:r>
      <w:r w:rsidRPr="00F92E53">
        <w:t xml:space="preserve"> phần mềm </w:t>
      </w:r>
      <w:r>
        <w:t xml:space="preserve">dành cho </w:t>
      </w:r>
      <w:r w:rsidRPr="00F92E53">
        <w:t>doanh nghiệp</w:t>
      </w:r>
      <w:r>
        <w:t>. Các mức độ chuẩn quốc tế CMMI 3, 4, và 5 phải thỏa mãn các vùng quy trình quan trọng theo quy định quốc tế</w:t>
      </w:r>
      <w:r w:rsidRPr="00F92E53">
        <w:rPr>
          <w:bCs/>
        </w:rPr>
        <w:t>.</w:t>
      </w:r>
    </w:p>
    <w:p w:rsidR="00DB5B15" w:rsidRPr="004046F9" w:rsidRDefault="00DB5B15" w:rsidP="008C3566">
      <w:pPr>
        <w:pStyle w:val="Heading1"/>
      </w:pPr>
      <w:r w:rsidRPr="004046F9">
        <w:lastRenderedPageBreak/>
        <w:t>Chương II</w:t>
      </w:r>
      <w:r w:rsidR="008C3566">
        <w:br/>
      </w:r>
      <w:r w:rsidRPr="004046F9">
        <w:t xml:space="preserve">NHỮNG QUY ĐỊNH CỤ THỂ </w:t>
      </w:r>
    </w:p>
    <w:p w:rsidR="00DB5B15" w:rsidRPr="004046F9" w:rsidRDefault="00DB5B15" w:rsidP="008C3566">
      <w:pPr>
        <w:pStyle w:val="Heading2"/>
      </w:pPr>
      <w:r w:rsidRPr="004046F9">
        <w:t xml:space="preserve">Điều </w:t>
      </w:r>
      <w:r>
        <w:t>5</w:t>
      </w:r>
      <w:r w:rsidRPr="004046F9">
        <w:t xml:space="preserve">. Hỗ trợ </w:t>
      </w:r>
      <w:r>
        <w:t xml:space="preserve">cơ sở </w:t>
      </w:r>
      <w:r w:rsidRPr="004046F9">
        <w:t xml:space="preserve">hạ tầng </w:t>
      </w:r>
    </w:p>
    <w:p w:rsidR="00DB5B15" w:rsidRPr="004046F9" w:rsidRDefault="00DB5B15" w:rsidP="008C3566">
      <w:pPr>
        <w:pStyle w:val="Para"/>
      </w:pPr>
      <w:r w:rsidRPr="004046F9">
        <w:t xml:space="preserve">Các doanh nghiệp xuất khẩu phần mềm khi sử dụng </w:t>
      </w:r>
      <w:r>
        <w:t xml:space="preserve">cơ sở </w:t>
      </w:r>
      <w:r w:rsidRPr="004046F9">
        <w:t>hạ tầng thông tin và truyền thông do thành phố xây dựng và quản lý được hưởng các ưu đãi sau:</w:t>
      </w:r>
    </w:p>
    <w:p w:rsidR="00DB5B15" w:rsidRPr="004046F9" w:rsidRDefault="007E7B1B" w:rsidP="007E7B1B">
      <w:pPr>
        <w:pStyle w:val="Para"/>
      </w:pPr>
      <w:r>
        <w:t xml:space="preserve">1. </w:t>
      </w:r>
      <w:r w:rsidR="00DB5B15" w:rsidRPr="004046F9">
        <w:t xml:space="preserve">Giảm 20% mức giá áp dụng cho các doanh nghiệp </w:t>
      </w:r>
      <w:r w:rsidR="00DB5B15">
        <w:t xml:space="preserve">thuộc lĩnh vực </w:t>
      </w:r>
      <w:r w:rsidR="00DB0D22">
        <w:t>công nghệ thông tin</w:t>
      </w:r>
      <w:r w:rsidR="006B609D">
        <w:t xml:space="preserve"> </w:t>
      </w:r>
      <w:r w:rsidR="00DB5B15" w:rsidRPr="004046F9">
        <w:t xml:space="preserve">thuê mặt bằng trong Khu </w:t>
      </w:r>
      <w:r w:rsidR="00534315">
        <w:t>C</w:t>
      </w:r>
      <w:r w:rsidR="00DB5B15" w:rsidRPr="004046F9">
        <w:t>ông viên phần mềm Đà Nẵng trong 03 năm đầu.</w:t>
      </w:r>
    </w:p>
    <w:p w:rsidR="00DB5B15" w:rsidRPr="004046F9" w:rsidRDefault="007E7B1B" w:rsidP="007E7B1B">
      <w:pPr>
        <w:pStyle w:val="Para"/>
      </w:pPr>
      <w:r>
        <w:t xml:space="preserve">2. </w:t>
      </w:r>
      <w:r w:rsidR="00DB5B15" w:rsidRPr="004046F9">
        <w:t>Giảm 30% phí</w:t>
      </w:r>
      <w:r w:rsidR="00DB0D22">
        <w:t xml:space="preserve"> thuê lưu ký</w:t>
      </w:r>
      <w:r w:rsidR="00DB5B15" w:rsidRPr="004046F9">
        <w:t xml:space="preserve"> </w:t>
      </w:r>
      <w:r w:rsidR="00DB0D22">
        <w:t>(</w:t>
      </w:r>
      <w:r w:rsidR="00DB5B15" w:rsidRPr="004046F9">
        <w:t>hosting</w:t>
      </w:r>
      <w:r w:rsidR="00DB0D22">
        <w:t>)</w:t>
      </w:r>
      <w:r w:rsidR="00DB5B15" w:rsidRPr="004046F9">
        <w:t xml:space="preserve"> website trong 03 năm.</w:t>
      </w:r>
    </w:p>
    <w:p w:rsidR="00DB5B15" w:rsidRPr="004046F9" w:rsidRDefault="007E7B1B" w:rsidP="007E7B1B">
      <w:pPr>
        <w:pStyle w:val="Para"/>
      </w:pPr>
      <w:r>
        <w:t xml:space="preserve">3. </w:t>
      </w:r>
      <w:r w:rsidR="00DB5B15" w:rsidRPr="004046F9">
        <w:t xml:space="preserve">Giảm </w:t>
      </w:r>
      <w:r w:rsidR="00DB5B15" w:rsidRPr="00E73A97">
        <w:t>20% phí thuê máy chủ, lưu trữ dữ liệu, các dịch vụ mới trên nền tảng công nghệ ảo hóa, điện toán đám mây trong 03 năm.</w:t>
      </w:r>
      <w:r w:rsidR="00DB5B15" w:rsidRPr="004046F9">
        <w:t xml:space="preserve"> </w:t>
      </w:r>
    </w:p>
    <w:p w:rsidR="00DB5B15" w:rsidRPr="004046F9" w:rsidRDefault="007E7B1B" w:rsidP="007E7B1B">
      <w:pPr>
        <w:pStyle w:val="Para"/>
      </w:pPr>
      <w:r>
        <w:t xml:space="preserve">4. </w:t>
      </w:r>
      <w:r w:rsidR="00DB5B15" w:rsidRPr="004046F9">
        <w:t xml:space="preserve">Giảm </w:t>
      </w:r>
      <w:r w:rsidR="00DB0D22">
        <w:t>2</w:t>
      </w:r>
      <w:r w:rsidR="00DB5B15" w:rsidRPr="004046F9">
        <w:t>0% phí hạ tầng sử dụng chung (hội trường, phòng họp</w:t>
      </w:r>
      <w:r w:rsidR="00DB0D22">
        <w:t>)</w:t>
      </w:r>
      <w:r w:rsidR="00DB5B15" w:rsidRPr="004046F9">
        <w:t xml:space="preserve"> không quá </w:t>
      </w:r>
      <w:r w:rsidR="00DB0D22">
        <w:t>0</w:t>
      </w:r>
      <w:r w:rsidR="00DB5B15" w:rsidRPr="004046F9">
        <w:t>3 năm kể từ ngày thuê mặt bằng trong Khu Công viên phần mềm.</w:t>
      </w:r>
    </w:p>
    <w:p w:rsidR="00DB5B15" w:rsidRPr="00E73A97" w:rsidRDefault="00DB5B15" w:rsidP="007E7B1B">
      <w:pPr>
        <w:pStyle w:val="Heading2"/>
      </w:pPr>
      <w:r w:rsidRPr="00E73A97">
        <w:t xml:space="preserve">Điều </w:t>
      </w:r>
      <w:r w:rsidR="004162CA">
        <w:t>6</w:t>
      </w:r>
      <w:r w:rsidRPr="00E73A97">
        <w:t>. Hỗ trợ đào tạo nhân lực và nâng cao trình độ quản lý</w:t>
      </w:r>
    </w:p>
    <w:p w:rsidR="00DB5B15" w:rsidRPr="00E73A97" w:rsidRDefault="00DB5B15" w:rsidP="00F334F2">
      <w:pPr>
        <w:pStyle w:val="Para"/>
      </w:pPr>
      <w:r w:rsidRPr="00E73A97">
        <w:t xml:space="preserve">1. Doanh nghiệp xuất khẩu phần mềm được hỗ trợ </w:t>
      </w:r>
      <w:r w:rsidR="00FA6722">
        <w:t>3</w:t>
      </w:r>
      <w:r w:rsidRPr="00E73A97">
        <w:t>0% kinh phí đào tạo ban đầu nếu đáp ứng các điều kiện sau:</w:t>
      </w:r>
    </w:p>
    <w:p w:rsidR="00DB5B15" w:rsidRPr="00E73A97" w:rsidRDefault="00DB5B15" w:rsidP="007E7B1B">
      <w:pPr>
        <w:pStyle w:val="Para"/>
      </w:pPr>
      <w:r w:rsidRPr="00E73A97">
        <w:t xml:space="preserve">- Nội dung đào tạo: Kỹ năng lập trình phần mềm chuyên sâu </w:t>
      </w:r>
      <w:r w:rsidR="00D04694" w:rsidRPr="00E73A97">
        <w:t xml:space="preserve">tập trung vào </w:t>
      </w:r>
      <w:r w:rsidRPr="00E73A97">
        <w:t>mục tiêu sản xuất kinh doanh của đơn vị, kỹ năng quản lý dự án CNTT</w:t>
      </w:r>
      <w:r w:rsidR="00F334F2" w:rsidRPr="00E73A97">
        <w:t>;</w:t>
      </w:r>
    </w:p>
    <w:p w:rsidR="00DB5B15" w:rsidRPr="00E73A97" w:rsidRDefault="00DB5B15" w:rsidP="007E7B1B">
      <w:pPr>
        <w:pStyle w:val="Para"/>
      </w:pPr>
      <w:r w:rsidRPr="00E73A97">
        <w:t xml:space="preserve">- Đối tượng được đào tạo: </w:t>
      </w:r>
      <w:r w:rsidR="00F334F2" w:rsidRPr="00E73A97">
        <w:t>L</w:t>
      </w:r>
      <w:r w:rsidRPr="00E73A97">
        <w:t xml:space="preserve">à lao động trực tiếp sản xuất sản phẩm phần mềm có hợp đồng lao động dài hạn, đang cư trú trên địa bàn thành phố Đà Nẵng và cam kết làm việc ít nhất </w:t>
      </w:r>
      <w:r w:rsidR="00F334F2" w:rsidRPr="00E73A97">
        <w:t>0</w:t>
      </w:r>
      <w:r w:rsidRPr="00E73A97">
        <w:t xml:space="preserve">3 năm tại doanh nghiệp. </w:t>
      </w:r>
    </w:p>
    <w:p w:rsidR="00DB5B15" w:rsidRPr="00E73A97" w:rsidRDefault="00DB5B15" w:rsidP="007E7B1B">
      <w:pPr>
        <w:pStyle w:val="Para"/>
      </w:pPr>
      <w:r w:rsidRPr="00E73A97">
        <w:t>Mức hỗ trợ tối đa không quá 50.000.000</w:t>
      </w:r>
      <w:r w:rsidR="006B609D" w:rsidRPr="00E73A97">
        <w:t xml:space="preserve"> </w:t>
      </w:r>
      <w:r w:rsidRPr="00E73A97">
        <w:t>đồng</w:t>
      </w:r>
      <w:r w:rsidR="00AE5FEA">
        <w:t>/doanh</w:t>
      </w:r>
      <w:r w:rsidRPr="00E73A97">
        <w:t xml:space="preserve"> nghiệp. Chi phí hỗ trợ trên không áp dụng cho các trường hợp thực hiện hợp đồng chuyển giao công nghệ.</w:t>
      </w:r>
    </w:p>
    <w:p w:rsidR="00FA6722" w:rsidRDefault="00DB5B15" w:rsidP="007E7B1B">
      <w:pPr>
        <w:pStyle w:val="Para"/>
      </w:pPr>
      <w:r w:rsidRPr="00E73A97">
        <w:t xml:space="preserve">2. Hỗ trợ chi phí tư vấn cho các doanh nghiệp xây dựng các quy trình đảm bảo chất lượng theo chuẩn quốc tế CMMI từ mức 3 trở lên. </w:t>
      </w:r>
      <w:r w:rsidR="00CE5D46" w:rsidRPr="00E73A97">
        <w:t>Mức hỗ trợ cho mỗi hợp đồng tư vấn là 20% giá trị hợp đồng, nhưng tổng kinh phí hỗ trợ không quá 200.000.000 đồng/doanh nghiệp</w:t>
      </w:r>
      <w:r w:rsidR="00FA6722">
        <w:t>, trừ những trường hợp doanh nghiệp đã được hỗ trợ từ Trung ương</w:t>
      </w:r>
      <w:r w:rsidR="00CE5D46" w:rsidRPr="00E73A97">
        <w:t>.</w:t>
      </w:r>
    </w:p>
    <w:p w:rsidR="00DB5B15" w:rsidRPr="00E73A97" w:rsidRDefault="00FA6722" w:rsidP="007E7B1B">
      <w:pPr>
        <w:pStyle w:val="Para"/>
      </w:pPr>
      <w:r>
        <w:t xml:space="preserve">3. Trường hợp các doanh nghiệp đã nhận được hỗ trợ chi phí tư vấn xây dựng các quy trình đảm bảo chất lượng theo chuẩn quốc tế </w:t>
      </w:r>
      <w:r w:rsidRPr="00E73A97">
        <w:t>CMMI từ mức 3 trở lên</w:t>
      </w:r>
      <w:r>
        <w:t xml:space="preserve"> từ Trung ương, thì mức </w:t>
      </w:r>
      <w:r w:rsidR="00DB5B15" w:rsidRPr="00E73A97">
        <w:t xml:space="preserve">hỗ trợ thêm </w:t>
      </w:r>
      <w:r>
        <w:t xml:space="preserve">của thành phố </w:t>
      </w:r>
      <w:r w:rsidR="00DB5B15" w:rsidRPr="00E73A97">
        <w:t>không quá 10% chi phí hợp đồng tư vấn xây dựng theo chuẩn</w:t>
      </w:r>
      <w:r w:rsidR="00AE5FEA">
        <w:t>/doanh</w:t>
      </w:r>
      <w:r w:rsidR="00DB5B15" w:rsidRPr="00E73A97">
        <w:t xml:space="preserve"> nghiệp. </w:t>
      </w:r>
    </w:p>
    <w:p w:rsidR="00DB5B15" w:rsidRPr="00E73A97" w:rsidRDefault="00DB5B15" w:rsidP="007E7B1B">
      <w:pPr>
        <w:pStyle w:val="Heading2"/>
      </w:pPr>
      <w:r w:rsidRPr="00E73A97">
        <w:t xml:space="preserve">Điều </w:t>
      </w:r>
      <w:r w:rsidR="004162CA">
        <w:t>7</w:t>
      </w:r>
      <w:r w:rsidRPr="00E73A97">
        <w:t>. Hỗ trợ xúc tiến thương mại</w:t>
      </w:r>
    </w:p>
    <w:p w:rsidR="00DB5B15" w:rsidRPr="00E73A97" w:rsidRDefault="00DB5B15" w:rsidP="009B4624">
      <w:pPr>
        <w:pStyle w:val="Para"/>
      </w:pPr>
      <w:r w:rsidRPr="00E73A97">
        <w:t>1. Hỗ trợ 100% kinh phí đăng ký bảo hộ bản quyền phần mềm trong nước nhưng không quá 5.000.000 đồng/</w:t>
      </w:r>
      <w:r w:rsidR="009B4624" w:rsidRPr="00E73A97">
        <w:t>0</w:t>
      </w:r>
      <w:r w:rsidRPr="00E73A97">
        <w:t xml:space="preserve">1 sản phẩm phần mềm và không quá </w:t>
      </w:r>
      <w:r w:rsidR="009B4624" w:rsidRPr="00E73A97">
        <w:t>0</w:t>
      </w:r>
      <w:r w:rsidRPr="00E73A97">
        <w:t>3 sản phẩm phần mềm/doanh nghiệp/</w:t>
      </w:r>
      <w:r w:rsidR="009B4624" w:rsidRPr="00E73A97">
        <w:t>0</w:t>
      </w:r>
      <w:r w:rsidRPr="00E73A97">
        <w:t>1 năm.</w:t>
      </w:r>
      <w:r w:rsidRPr="00E73A97">
        <w:tab/>
      </w:r>
    </w:p>
    <w:p w:rsidR="00DB5B15" w:rsidRPr="004046F9" w:rsidRDefault="00DB5B15" w:rsidP="00674D25">
      <w:pPr>
        <w:pStyle w:val="Para"/>
        <w:rPr>
          <w:lang w:val="nl-NL"/>
        </w:rPr>
      </w:pPr>
      <w:r w:rsidRPr="004046F9">
        <w:rPr>
          <w:lang w:val="nl-NL"/>
        </w:rPr>
        <w:t>2. Hỗ trợ doanh nghiệp tham gia các hội chợ triển lãm chuyên ngành</w:t>
      </w:r>
      <w:r>
        <w:rPr>
          <w:lang w:val="nl-NL"/>
        </w:rPr>
        <w:t xml:space="preserve"> quốc tế</w:t>
      </w:r>
      <w:r w:rsidRPr="004046F9">
        <w:rPr>
          <w:lang w:val="nl-NL"/>
        </w:rPr>
        <w:t xml:space="preserve"> ở </w:t>
      </w:r>
      <w:r w:rsidRPr="004046F9">
        <w:rPr>
          <w:lang w:val="nl-NL"/>
        </w:rPr>
        <w:lastRenderedPageBreak/>
        <w:t>trong nước. Cụ thể như sau: miễn phí thuê mặt bằng gian hàng đối với hội chợ triển lãm được tổ chức tại thành phố Đà Nẵng và hỗ trợ 50% chi phí thuê gian hàng tiêu chuẩn nếu hội chợ triển lãm được tổ chức tại các địa phương khác</w:t>
      </w:r>
      <w:r>
        <w:rPr>
          <w:lang w:val="nl-NL"/>
        </w:rPr>
        <w:t xml:space="preserve"> nhưng không quá 02 gian hàng tiêu chuẩn/doanh nghiệp/01 lần tham gia</w:t>
      </w:r>
      <w:r w:rsidRPr="004046F9">
        <w:rPr>
          <w:lang w:val="nl-NL"/>
        </w:rPr>
        <w:t>.</w:t>
      </w:r>
    </w:p>
    <w:p w:rsidR="00DB5B15" w:rsidRPr="004046F9" w:rsidRDefault="00DB5B15" w:rsidP="00674D25">
      <w:pPr>
        <w:pStyle w:val="Para"/>
        <w:rPr>
          <w:lang w:val="nl-NL"/>
        </w:rPr>
      </w:pPr>
      <w:r w:rsidRPr="004046F9">
        <w:rPr>
          <w:lang w:val="nl-NL"/>
        </w:rPr>
        <w:t>3. Hỗ trợ quảng bá thông tin doanh nghiệp: hỗ trợ 50% kinh phí quảng cáo hoặc đăng tin trên Cổng thông tin điện tử của thành phố, Tạp chí Thông tin và Truyền thông</w:t>
      </w:r>
      <w:r w:rsidR="009B4624">
        <w:rPr>
          <w:lang w:val="nl-NL"/>
        </w:rPr>
        <w:t xml:space="preserve"> thành phố</w:t>
      </w:r>
      <w:r w:rsidRPr="004046F9">
        <w:rPr>
          <w:lang w:val="nl-NL"/>
        </w:rPr>
        <w:t>, và Cổng Thương mại điện tử</w:t>
      </w:r>
      <w:r w:rsidR="009B4624">
        <w:rPr>
          <w:lang w:val="nl-NL"/>
        </w:rPr>
        <w:t xml:space="preserve"> thành phố</w:t>
      </w:r>
      <w:r w:rsidRPr="004046F9">
        <w:rPr>
          <w:lang w:val="nl-NL"/>
        </w:rPr>
        <w:t>.</w:t>
      </w:r>
    </w:p>
    <w:p w:rsidR="00DB5B15" w:rsidRPr="004046F9" w:rsidRDefault="00DB5B15" w:rsidP="00674D25">
      <w:pPr>
        <w:pStyle w:val="Heading2"/>
        <w:rPr>
          <w:lang w:val="nl-NL"/>
        </w:rPr>
      </w:pPr>
      <w:r w:rsidRPr="004046F9">
        <w:rPr>
          <w:lang w:val="vi-VN"/>
        </w:rPr>
        <w:t xml:space="preserve">Điều </w:t>
      </w:r>
      <w:r w:rsidR="004162CA">
        <w:rPr>
          <w:lang w:val="nl-NL"/>
        </w:rPr>
        <w:t>8</w:t>
      </w:r>
      <w:r w:rsidRPr="004046F9">
        <w:rPr>
          <w:lang w:val="vi-VN"/>
        </w:rPr>
        <w:t>. Hỗ trợ vay vốn với lãi suất ưu đãi</w:t>
      </w:r>
      <w:r w:rsidRPr="004046F9">
        <w:rPr>
          <w:lang w:val="nl-NL"/>
        </w:rPr>
        <w:t xml:space="preserve"> </w:t>
      </w:r>
    </w:p>
    <w:p w:rsidR="00DB5B15" w:rsidRPr="004046F9" w:rsidRDefault="00DB5B15" w:rsidP="00674D25">
      <w:pPr>
        <w:pStyle w:val="Para"/>
        <w:rPr>
          <w:lang w:val="nl-NL"/>
        </w:rPr>
      </w:pPr>
      <w:r w:rsidRPr="004046F9">
        <w:rPr>
          <w:lang w:val="nl-NL"/>
        </w:rPr>
        <w:t xml:space="preserve">Doanh nghiệp xuất khẩu phần mềm được hưởng </w:t>
      </w:r>
      <w:r>
        <w:rPr>
          <w:lang w:val="nl-NL"/>
        </w:rPr>
        <w:t xml:space="preserve">mức lãi suất </w:t>
      </w:r>
      <w:r w:rsidRPr="004046F9">
        <w:rPr>
          <w:lang w:val="nl-NL"/>
        </w:rPr>
        <w:t>vay</w:t>
      </w:r>
      <w:r>
        <w:rPr>
          <w:lang w:val="nl-NL"/>
        </w:rPr>
        <w:t xml:space="preserve"> vốn</w:t>
      </w:r>
      <w:r w:rsidRPr="004046F9">
        <w:rPr>
          <w:lang w:val="nl-NL"/>
        </w:rPr>
        <w:t xml:space="preserve"> ưu đãi của Quỹ </w:t>
      </w:r>
      <w:r w:rsidR="006578C6">
        <w:rPr>
          <w:lang w:val="nl-NL"/>
        </w:rPr>
        <w:t>Đ</w:t>
      </w:r>
      <w:r w:rsidRPr="004046F9">
        <w:rPr>
          <w:lang w:val="nl-NL"/>
        </w:rPr>
        <w:t xml:space="preserve">ầu tư phát triển thành phố với mức ưu đãi nhất theo quy định hiện hành của </w:t>
      </w:r>
      <w:r w:rsidR="00663197">
        <w:rPr>
          <w:lang w:val="nl-NL"/>
        </w:rPr>
        <w:t>Ủy ban nhân dân</w:t>
      </w:r>
      <w:r w:rsidRPr="004046F9">
        <w:rPr>
          <w:lang w:val="nl-NL"/>
        </w:rPr>
        <w:t xml:space="preserve"> thành phố.</w:t>
      </w:r>
    </w:p>
    <w:p w:rsidR="00DB5B15" w:rsidRPr="004046F9" w:rsidRDefault="00DB5B15" w:rsidP="00674D25">
      <w:pPr>
        <w:pStyle w:val="Heading1"/>
        <w:rPr>
          <w:lang w:val="vi-VN"/>
        </w:rPr>
      </w:pPr>
      <w:r w:rsidRPr="00674D25">
        <w:rPr>
          <w:lang w:val="vi-VN"/>
        </w:rPr>
        <w:t>Chương III</w:t>
      </w:r>
      <w:r w:rsidR="00674D25" w:rsidRPr="00674D25">
        <w:rPr>
          <w:lang w:val="vi-VN"/>
        </w:rPr>
        <w:br/>
      </w:r>
      <w:r w:rsidRPr="004046F9">
        <w:rPr>
          <w:lang w:val="vi-VN"/>
        </w:rPr>
        <w:t>ĐIỀU KIỆN, HỒ SƠ VÀ CƠ QUAN THẨM ĐỊNH</w:t>
      </w:r>
    </w:p>
    <w:p w:rsidR="00DB5B15" w:rsidRPr="004046F9" w:rsidRDefault="00DB5B15" w:rsidP="00674D25">
      <w:pPr>
        <w:pStyle w:val="Heading2"/>
        <w:rPr>
          <w:lang w:val="vi-VN"/>
        </w:rPr>
      </w:pPr>
      <w:r w:rsidRPr="004046F9">
        <w:rPr>
          <w:lang w:val="vi-VN"/>
        </w:rPr>
        <w:t xml:space="preserve">Điều </w:t>
      </w:r>
      <w:r w:rsidR="004162CA">
        <w:rPr>
          <w:rFonts w:ascii="Times New Roman" w:hAnsi="Times New Roman"/>
        </w:rPr>
        <w:t>9</w:t>
      </w:r>
      <w:r w:rsidRPr="004046F9">
        <w:rPr>
          <w:lang w:val="vi-VN"/>
        </w:rPr>
        <w:t>. Điều kiện để được hưởng ưu đãi</w:t>
      </w:r>
    </w:p>
    <w:p w:rsidR="00DB5B15" w:rsidRPr="004046F9" w:rsidRDefault="00DB5B15" w:rsidP="00DF3E1B">
      <w:pPr>
        <w:pStyle w:val="Para"/>
        <w:rPr>
          <w:lang w:val="vi-VN"/>
        </w:rPr>
      </w:pPr>
      <w:r w:rsidRPr="004046F9">
        <w:rPr>
          <w:lang w:val="vi-VN"/>
        </w:rPr>
        <w:t>1. Doanh nghiệp sử dụng trên 20 lao động trực tiếp tham gia sản xuất sản phẩm phần mềm.</w:t>
      </w:r>
    </w:p>
    <w:p w:rsidR="00DB5B15" w:rsidRPr="004046F9" w:rsidRDefault="00DB5B15" w:rsidP="00DF3E1B">
      <w:pPr>
        <w:pStyle w:val="Para"/>
        <w:rPr>
          <w:lang w:val="vi-VN"/>
        </w:rPr>
      </w:pPr>
      <w:r w:rsidRPr="004046F9">
        <w:rPr>
          <w:lang w:val="vi-VN"/>
        </w:rPr>
        <w:t xml:space="preserve">2. Kim ngạch xuất khẩu phần mềm đạt trên </w:t>
      </w:r>
      <w:r w:rsidRPr="00F545F1">
        <w:rPr>
          <w:lang w:val="vi-VN"/>
        </w:rPr>
        <w:t>2</w:t>
      </w:r>
      <w:r w:rsidRPr="004046F9">
        <w:rPr>
          <w:lang w:val="vi-VN"/>
        </w:rPr>
        <w:t xml:space="preserve">00.000 USD/năm và năm sau cao hơn năm trước ít nhất </w:t>
      </w:r>
      <w:r w:rsidR="00955C56">
        <w:t>1</w:t>
      </w:r>
      <w:r w:rsidRPr="00F545F1">
        <w:rPr>
          <w:lang w:val="vi-VN"/>
        </w:rPr>
        <w:t>0</w:t>
      </w:r>
      <w:r w:rsidRPr="004046F9">
        <w:rPr>
          <w:lang w:val="vi-VN"/>
        </w:rPr>
        <w:t xml:space="preserve">%. </w:t>
      </w:r>
    </w:p>
    <w:p w:rsidR="00DB5B15" w:rsidRPr="004046F9" w:rsidRDefault="00DB5B15" w:rsidP="00DF3E1B">
      <w:pPr>
        <w:pStyle w:val="Heading2"/>
        <w:rPr>
          <w:lang w:val="vi-VN"/>
        </w:rPr>
      </w:pPr>
      <w:r w:rsidRPr="004046F9">
        <w:rPr>
          <w:lang w:val="vi-VN"/>
        </w:rPr>
        <w:t>Điều 1</w:t>
      </w:r>
      <w:r w:rsidR="004162CA">
        <w:rPr>
          <w:rFonts w:ascii="Times New Roman" w:hAnsi="Times New Roman"/>
        </w:rPr>
        <w:t>0</w:t>
      </w:r>
      <w:r w:rsidRPr="004046F9">
        <w:rPr>
          <w:lang w:val="vi-VN"/>
        </w:rPr>
        <w:t>. Quy định thời hạn và trách nhiệm xử lý hồ sơ</w:t>
      </w:r>
    </w:p>
    <w:p w:rsidR="00DB5B15" w:rsidRPr="00955C56" w:rsidRDefault="00DB5B15" w:rsidP="006578C6">
      <w:pPr>
        <w:pStyle w:val="Para"/>
      </w:pPr>
      <w:r w:rsidRPr="004046F9">
        <w:rPr>
          <w:lang w:val="vi-VN"/>
        </w:rPr>
        <w:t xml:space="preserve">1. Các doanh nghiệp thuộc đối tượng hỗ trợ gửi hồ sơ đề nghị </w:t>
      </w:r>
      <w:r w:rsidR="00955C56" w:rsidRPr="004046F9">
        <w:rPr>
          <w:lang w:val="vi-VN"/>
        </w:rPr>
        <w:t xml:space="preserve">hỗ trợ </w:t>
      </w:r>
      <w:r w:rsidR="00955C56">
        <w:t xml:space="preserve">trước ngày 30 tháng 4 hàng năm </w:t>
      </w:r>
      <w:r w:rsidRPr="004046F9">
        <w:rPr>
          <w:lang w:val="vi-VN"/>
        </w:rPr>
        <w:t xml:space="preserve">về Sở Thông tin và Truyền thông </w:t>
      </w:r>
      <w:r w:rsidR="00955C56">
        <w:t>để chuyển cho các cơ quan</w:t>
      </w:r>
      <w:r w:rsidR="00E82CA6">
        <w:t xml:space="preserve"> </w:t>
      </w:r>
      <w:r w:rsidR="00955C56">
        <w:t>có thẩm quyền thẩm định</w:t>
      </w:r>
      <w:r w:rsidRPr="004046F9">
        <w:rPr>
          <w:lang w:val="vi-VN"/>
        </w:rPr>
        <w:t xml:space="preserve">. </w:t>
      </w:r>
      <w:r w:rsidR="00955C56">
        <w:t>Thời hạn thẩm định của các cơ quan liên quan là không quá 05 ngày làm việc.</w:t>
      </w:r>
    </w:p>
    <w:p w:rsidR="00DB5B15" w:rsidRDefault="00DB5B15" w:rsidP="00DF3E1B">
      <w:pPr>
        <w:pStyle w:val="Para"/>
      </w:pPr>
      <w:r w:rsidRPr="004046F9">
        <w:rPr>
          <w:lang w:val="vi-VN"/>
        </w:rPr>
        <w:t>2. Sở Thông tin và Truyền thông có trách nhiệm tổng hợp và gửi các cơ quan liên quan trước ngày 30 tháng 5 hàng năm</w:t>
      </w:r>
      <w:r w:rsidRPr="004046F9" w:rsidDel="00186680">
        <w:rPr>
          <w:lang w:val="vi-VN"/>
        </w:rPr>
        <w:t xml:space="preserve"> </w:t>
      </w:r>
      <w:r w:rsidRPr="004046F9">
        <w:rPr>
          <w:lang w:val="vi-VN"/>
        </w:rPr>
        <w:t>để làm thủ tục hỗ trợ cho doanh nghiệp.</w:t>
      </w:r>
    </w:p>
    <w:p w:rsidR="00DB5B15" w:rsidRPr="00F545F1" w:rsidRDefault="00DB5B15" w:rsidP="004162CA">
      <w:pPr>
        <w:pStyle w:val="Heading2"/>
        <w:rPr>
          <w:lang w:val="vi-VN"/>
        </w:rPr>
      </w:pPr>
      <w:r w:rsidRPr="004046F9">
        <w:rPr>
          <w:lang w:val="vi-VN"/>
        </w:rPr>
        <w:t>Điều 1</w:t>
      </w:r>
      <w:r w:rsidR="004162CA">
        <w:t>1</w:t>
      </w:r>
      <w:r w:rsidRPr="004046F9">
        <w:rPr>
          <w:lang w:val="vi-VN"/>
        </w:rPr>
        <w:t>. Hồ sơ đề nghị hỗ trợ gồm:</w:t>
      </w:r>
    </w:p>
    <w:p w:rsidR="00DB5B15" w:rsidRPr="00F545F1" w:rsidRDefault="00DB5B15" w:rsidP="00DF3E1B">
      <w:pPr>
        <w:pStyle w:val="Para"/>
        <w:rPr>
          <w:lang w:val="vi-VN"/>
        </w:rPr>
      </w:pPr>
      <w:r w:rsidRPr="00F545F1">
        <w:rPr>
          <w:lang w:val="vi-VN"/>
        </w:rPr>
        <w:t>1. Hồ sơ chung:</w:t>
      </w:r>
    </w:p>
    <w:p w:rsidR="00DB5B15" w:rsidRPr="004046F9" w:rsidRDefault="00DB5B15" w:rsidP="00DF3E1B">
      <w:pPr>
        <w:pStyle w:val="Para"/>
        <w:rPr>
          <w:lang w:val="vi-VN"/>
        </w:rPr>
      </w:pPr>
      <w:r w:rsidRPr="004046F9">
        <w:rPr>
          <w:lang w:val="vi-VN"/>
        </w:rPr>
        <w:t>- Công văn đề nghị hỗ trợ;</w:t>
      </w:r>
    </w:p>
    <w:p w:rsidR="00DB5B15" w:rsidRPr="004046F9" w:rsidRDefault="00DB5B15" w:rsidP="00DF3E1B">
      <w:pPr>
        <w:pStyle w:val="Para"/>
        <w:rPr>
          <w:lang w:val="vi-VN"/>
        </w:rPr>
      </w:pPr>
      <w:r w:rsidRPr="004046F9">
        <w:rPr>
          <w:lang w:val="vi-VN"/>
        </w:rPr>
        <w:t xml:space="preserve">- Báo cáo tài chính năm gần nhất đã được kiểm </w:t>
      </w:r>
      <w:r w:rsidR="00255BFF" w:rsidRPr="00E73A97">
        <w:rPr>
          <w:lang w:val="vi-VN"/>
        </w:rPr>
        <w:t>toán</w:t>
      </w:r>
      <w:r w:rsidRPr="004046F9">
        <w:rPr>
          <w:lang w:val="vi-VN"/>
        </w:rPr>
        <w:t>;</w:t>
      </w:r>
    </w:p>
    <w:p w:rsidR="00DB5B15" w:rsidRPr="004046F9" w:rsidRDefault="00DB5B15" w:rsidP="00DF3E1B">
      <w:pPr>
        <w:pStyle w:val="Para"/>
        <w:rPr>
          <w:lang w:val="vi-VN"/>
        </w:rPr>
      </w:pPr>
      <w:r w:rsidRPr="004046F9">
        <w:rPr>
          <w:lang w:val="vi-VN"/>
        </w:rPr>
        <w:t xml:space="preserve">- Báo cáo về tình hình lao động, thị trường và sản phẩm xuất khẩu. </w:t>
      </w:r>
    </w:p>
    <w:p w:rsidR="00DB5B15" w:rsidRPr="00F545F1" w:rsidRDefault="00DB5B15" w:rsidP="00DF3E1B">
      <w:pPr>
        <w:pStyle w:val="Para"/>
        <w:rPr>
          <w:lang w:val="vi-VN"/>
        </w:rPr>
      </w:pPr>
      <w:r w:rsidRPr="00F545F1">
        <w:rPr>
          <w:lang w:val="vi-VN"/>
        </w:rPr>
        <w:t>2. Hồ sơ cụ thể:</w:t>
      </w:r>
    </w:p>
    <w:p w:rsidR="00DB5B15" w:rsidRPr="004046F9" w:rsidRDefault="00DB5B15" w:rsidP="00DF3E1B">
      <w:pPr>
        <w:pStyle w:val="Para"/>
        <w:rPr>
          <w:lang w:val="vi-VN"/>
        </w:rPr>
      </w:pPr>
      <w:r w:rsidRPr="004046F9">
        <w:rPr>
          <w:lang w:val="vi-VN"/>
        </w:rPr>
        <w:t>Ngoài các hồ sơ trên, tùy từng nội dung được hỗ trợ, doanh nghiệp bổ sung thêm các hồ sơ sau:</w:t>
      </w:r>
    </w:p>
    <w:p w:rsidR="00DB5B15" w:rsidRPr="0028064A" w:rsidRDefault="00DB5B15" w:rsidP="00DF3E1B">
      <w:pPr>
        <w:pStyle w:val="Para"/>
      </w:pPr>
      <w:r w:rsidRPr="00F545F1">
        <w:rPr>
          <w:lang w:val="vi-VN"/>
        </w:rPr>
        <w:lastRenderedPageBreak/>
        <w:t>a</w:t>
      </w:r>
      <w:r w:rsidRPr="004046F9">
        <w:rPr>
          <w:lang w:val="vi-VN"/>
        </w:rPr>
        <w:t xml:space="preserve">. Trường hợp hỗ trợ </w:t>
      </w:r>
      <w:r w:rsidRPr="00F545F1">
        <w:rPr>
          <w:lang w:val="vi-VN"/>
        </w:rPr>
        <w:t xml:space="preserve">cơ sở </w:t>
      </w:r>
      <w:r w:rsidRPr="004046F9">
        <w:rPr>
          <w:lang w:val="vi-VN"/>
        </w:rPr>
        <w:t>hạ tầng:</w:t>
      </w:r>
      <w:r w:rsidR="0028064A">
        <w:t xml:space="preserve"> </w:t>
      </w:r>
      <w:r w:rsidRPr="004046F9">
        <w:rPr>
          <w:lang w:val="vi-VN"/>
        </w:rPr>
        <w:t>Hợp đồng thuê mặt bằng,</w:t>
      </w:r>
      <w:r w:rsidR="0028064A">
        <w:t xml:space="preserve"> lưu ký</w:t>
      </w:r>
      <w:r w:rsidRPr="004046F9">
        <w:rPr>
          <w:lang w:val="vi-VN"/>
        </w:rPr>
        <w:t xml:space="preserve"> </w:t>
      </w:r>
      <w:r w:rsidR="0028064A">
        <w:t>(</w:t>
      </w:r>
      <w:r w:rsidRPr="004046F9">
        <w:rPr>
          <w:lang w:val="vi-VN"/>
        </w:rPr>
        <w:t>hosting</w:t>
      </w:r>
      <w:r w:rsidR="0028064A">
        <w:t>)</w:t>
      </w:r>
      <w:r w:rsidRPr="004046F9">
        <w:rPr>
          <w:lang w:val="vi-VN"/>
        </w:rPr>
        <w:t xml:space="preserve"> website,</w:t>
      </w:r>
      <w:r w:rsidRPr="00E73A97">
        <w:rPr>
          <w:lang w:val="vi-VN"/>
        </w:rPr>
        <w:t xml:space="preserve"> thuê máy chủ, lưu trữ dữ liệu, các dịch vụ mới trên nền tảng công nghệ ảo hóa, điện toán đám mây</w:t>
      </w:r>
      <w:r w:rsidR="0028064A">
        <w:t>.</w:t>
      </w:r>
    </w:p>
    <w:p w:rsidR="00DB5B15" w:rsidRPr="00F545F1" w:rsidRDefault="004162CA" w:rsidP="00DF3E1B">
      <w:pPr>
        <w:pStyle w:val="Para"/>
        <w:rPr>
          <w:lang w:val="vi-VN"/>
        </w:rPr>
      </w:pPr>
      <w:r>
        <w:t>b</w:t>
      </w:r>
      <w:r w:rsidR="00DB5B15" w:rsidRPr="004046F9">
        <w:rPr>
          <w:lang w:val="vi-VN"/>
        </w:rPr>
        <w:t>. Trường hợp hỗ trợ đào tạo, bồi dưỡng nguồn nhân lực:</w:t>
      </w:r>
      <w:r w:rsidR="00DB5B15" w:rsidRPr="004046F9">
        <w:rPr>
          <w:lang w:val="vi-VN"/>
        </w:rPr>
        <w:tab/>
      </w:r>
    </w:p>
    <w:p w:rsidR="00DB5B15" w:rsidRPr="00F545F1" w:rsidRDefault="00DB5B15" w:rsidP="00DF3E1B">
      <w:pPr>
        <w:pStyle w:val="Para"/>
        <w:rPr>
          <w:lang w:val="vi-VN"/>
        </w:rPr>
      </w:pPr>
      <w:r w:rsidRPr="004046F9">
        <w:rPr>
          <w:lang w:val="vi-VN"/>
        </w:rPr>
        <w:t>- Kế hoạch đào tạo của doanh nghiệp</w:t>
      </w:r>
      <w:r w:rsidRPr="00F545F1">
        <w:rPr>
          <w:lang w:val="vi-VN"/>
        </w:rPr>
        <w:t>;</w:t>
      </w:r>
    </w:p>
    <w:p w:rsidR="00DB5B15" w:rsidRPr="00F545F1" w:rsidRDefault="00DB5B15" w:rsidP="00DF3E1B">
      <w:pPr>
        <w:pStyle w:val="Para"/>
        <w:rPr>
          <w:lang w:val="vi-VN"/>
        </w:rPr>
      </w:pPr>
      <w:r w:rsidRPr="004046F9">
        <w:rPr>
          <w:lang w:val="vi-VN"/>
        </w:rPr>
        <w:t>- Báo cáo kết quả đào tạo (kèm theo chứng chỉ đạt được)</w:t>
      </w:r>
      <w:r w:rsidRPr="00F545F1">
        <w:rPr>
          <w:lang w:val="vi-VN"/>
        </w:rPr>
        <w:t>;</w:t>
      </w:r>
    </w:p>
    <w:p w:rsidR="00DB5B15" w:rsidRPr="00F545F1" w:rsidRDefault="00DB5B15" w:rsidP="00DF3E1B">
      <w:pPr>
        <w:pStyle w:val="Para"/>
        <w:rPr>
          <w:lang w:val="vi-VN"/>
        </w:rPr>
      </w:pPr>
      <w:r w:rsidRPr="004046F9">
        <w:rPr>
          <w:lang w:val="vi-VN"/>
        </w:rPr>
        <w:t>- Biên bản kiểm tra kết quả đào tạo</w:t>
      </w:r>
      <w:r w:rsidRPr="00F545F1">
        <w:rPr>
          <w:lang w:val="vi-VN"/>
        </w:rPr>
        <w:t>;</w:t>
      </w:r>
    </w:p>
    <w:p w:rsidR="00DB5B15" w:rsidRPr="00F545F1" w:rsidRDefault="00DB5B15" w:rsidP="00DF3E1B">
      <w:pPr>
        <w:pStyle w:val="Para"/>
        <w:rPr>
          <w:lang w:val="vi-VN"/>
        </w:rPr>
      </w:pPr>
      <w:r w:rsidRPr="00F545F1">
        <w:rPr>
          <w:lang w:val="vi-VN"/>
        </w:rPr>
        <w:t xml:space="preserve">- Cam kết của người lao động làm việc tại doanh nghiệp ít nhất </w:t>
      </w:r>
      <w:r w:rsidR="0028064A">
        <w:t>0</w:t>
      </w:r>
      <w:r w:rsidRPr="00F545F1">
        <w:rPr>
          <w:lang w:val="vi-VN"/>
        </w:rPr>
        <w:t>3 năm.</w:t>
      </w:r>
    </w:p>
    <w:p w:rsidR="00DB5B15" w:rsidRPr="004046F9" w:rsidRDefault="004162CA" w:rsidP="00DF3E1B">
      <w:pPr>
        <w:pStyle w:val="Para"/>
        <w:rPr>
          <w:lang w:val="vi-VN"/>
        </w:rPr>
      </w:pPr>
      <w:r>
        <w:t>c</w:t>
      </w:r>
      <w:r w:rsidR="00DB5B15" w:rsidRPr="004046F9">
        <w:rPr>
          <w:lang w:val="vi-VN"/>
        </w:rPr>
        <w:t xml:space="preserve">. Trường hợp hỗ trợ chi phí </w:t>
      </w:r>
      <w:r w:rsidR="00DB5B15" w:rsidRPr="00F545F1">
        <w:rPr>
          <w:lang w:val="vi-VN"/>
        </w:rPr>
        <w:t xml:space="preserve">tư vấn </w:t>
      </w:r>
      <w:r w:rsidR="00DB5B15" w:rsidRPr="004046F9">
        <w:rPr>
          <w:lang w:val="vi-VN"/>
        </w:rPr>
        <w:t xml:space="preserve">cho các doanh nghiệp được cấp giấy chứng nhận áp dụng tiêu chuẩn </w:t>
      </w:r>
      <w:r w:rsidR="0028064A">
        <w:t>q</w:t>
      </w:r>
      <w:r w:rsidR="00DB5B15" w:rsidRPr="004046F9">
        <w:rPr>
          <w:lang w:val="vi-VN"/>
        </w:rPr>
        <w:t xml:space="preserve">uốc tế CMMI </w:t>
      </w:r>
      <w:r w:rsidR="00DB5B15" w:rsidRPr="00F545F1">
        <w:rPr>
          <w:lang w:val="vi-VN"/>
        </w:rPr>
        <w:t xml:space="preserve">mức độ </w:t>
      </w:r>
      <w:r w:rsidR="00DB5B15" w:rsidRPr="004046F9">
        <w:rPr>
          <w:lang w:val="vi-VN"/>
        </w:rPr>
        <w:t>3</w:t>
      </w:r>
      <w:r w:rsidR="00DB5B15" w:rsidRPr="00F545F1">
        <w:rPr>
          <w:lang w:val="vi-VN"/>
        </w:rPr>
        <w:t xml:space="preserve"> trở lên</w:t>
      </w:r>
      <w:r w:rsidR="00DB5B15" w:rsidRPr="004046F9">
        <w:rPr>
          <w:lang w:val="vi-VN"/>
        </w:rPr>
        <w:t>:</w:t>
      </w:r>
    </w:p>
    <w:p w:rsidR="00DB5B15" w:rsidRPr="004046F9" w:rsidRDefault="00DB5B15" w:rsidP="00DF3E1B">
      <w:pPr>
        <w:pStyle w:val="Para"/>
        <w:rPr>
          <w:lang w:val="vi-VN"/>
        </w:rPr>
      </w:pPr>
      <w:r w:rsidRPr="004046F9">
        <w:rPr>
          <w:lang w:val="vi-VN"/>
        </w:rPr>
        <w:t>- Kế hoạch thực hiện của doanh nghiệp;</w:t>
      </w:r>
    </w:p>
    <w:p w:rsidR="00DB5B15" w:rsidRPr="004046F9" w:rsidRDefault="00DB5B15" w:rsidP="00DF3E1B">
      <w:pPr>
        <w:pStyle w:val="Para"/>
        <w:rPr>
          <w:lang w:val="vi-VN"/>
        </w:rPr>
      </w:pPr>
      <w:r w:rsidRPr="004046F9">
        <w:rPr>
          <w:lang w:val="vi-VN"/>
        </w:rPr>
        <w:t xml:space="preserve">- Bản sao giấy chứng nhận; </w:t>
      </w:r>
    </w:p>
    <w:p w:rsidR="00DB5B15" w:rsidRPr="00F545F1" w:rsidRDefault="00DB5B15" w:rsidP="00DF3E1B">
      <w:pPr>
        <w:pStyle w:val="Para"/>
        <w:rPr>
          <w:lang w:val="vi-VN"/>
        </w:rPr>
      </w:pPr>
      <w:r w:rsidRPr="004046F9">
        <w:rPr>
          <w:lang w:val="vi-VN"/>
        </w:rPr>
        <w:t>- Chứng từ hợp lệ liên quan đến chi phí đã thực hiện (hợp đồng, thanh lý hợp đồng, hóa đơn,…)</w:t>
      </w:r>
      <w:r w:rsidRPr="00F545F1">
        <w:rPr>
          <w:lang w:val="vi-VN"/>
        </w:rPr>
        <w:t>.</w:t>
      </w:r>
    </w:p>
    <w:p w:rsidR="00DB5B15" w:rsidRPr="004046F9" w:rsidRDefault="004162CA" w:rsidP="00DF3E1B">
      <w:pPr>
        <w:pStyle w:val="Para"/>
        <w:rPr>
          <w:lang w:val="vi-VN"/>
        </w:rPr>
      </w:pPr>
      <w:r>
        <w:t>d</w:t>
      </w:r>
      <w:r w:rsidR="00DB5B15" w:rsidRPr="004046F9">
        <w:rPr>
          <w:lang w:val="vi-VN"/>
        </w:rPr>
        <w:t>. Trường hợp hỗ trợ hoạt động xúc tiến thương mại:</w:t>
      </w:r>
      <w:r w:rsidR="00DB5B15" w:rsidRPr="00F545F1">
        <w:rPr>
          <w:lang w:val="vi-VN"/>
        </w:rPr>
        <w:t xml:space="preserve"> </w:t>
      </w:r>
      <w:r w:rsidR="00DB5B15" w:rsidRPr="004046F9">
        <w:rPr>
          <w:lang w:val="vi-VN"/>
        </w:rPr>
        <w:t>Chứng từ hợp lệ liên quan đến chi phí đã thực hiện (hợp đồng, thanh lý hợp đồng, hóa đơn,…)</w:t>
      </w:r>
      <w:r w:rsidR="00DB5B15" w:rsidRPr="00F545F1">
        <w:rPr>
          <w:lang w:val="vi-VN"/>
        </w:rPr>
        <w:t xml:space="preserve"> thuê mặt bằng, gian hàng tiêu chuẩn.</w:t>
      </w:r>
    </w:p>
    <w:p w:rsidR="00DB5B15" w:rsidRPr="0028064A" w:rsidRDefault="004162CA" w:rsidP="00255BFF">
      <w:pPr>
        <w:pStyle w:val="Para"/>
      </w:pPr>
      <w:r>
        <w:t>e</w:t>
      </w:r>
      <w:r w:rsidR="00DB5B15" w:rsidRPr="004046F9">
        <w:rPr>
          <w:lang w:val="vi-VN"/>
        </w:rPr>
        <w:t>. Trường hợp hỗ trợ vay vốn ưu đãi</w:t>
      </w:r>
      <w:r w:rsidR="00DB5B15" w:rsidRPr="00F545F1">
        <w:rPr>
          <w:lang w:val="vi-VN"/>
        </w:rPr>
        <w:t>: Hồ sơ theo quy định của Quỹ đầu tư phát triển thành phố Đà Nẵng</w:t>
      </w:r>
      <w:r w:rsidR="0028064A">
        <w:t>.</w:t>
      </w:r>
    </w:p>
    <w:p w:rsidR="00DB5B15" w:rsidRPr="00F545F1" w:rsidRDefault="00DB5B15" w:rsidP="00DF3E1B">
      <w:pPr>
        <w:pStyle w:val="Heading1"/>
        <w:rPr>
          <w:lang w:val="vi-VN"/>
        </w:rPr>
      </w:pPr>
      <w:r w:rsidRPr="004046F9">
        <w:rPr>
          <w:lang w:val="vi-VN"/>
        </w:rPr>
        <w:t>Chương IV</w:t>
      </w:r>
      <w:r w:rsidR="00DF3E1B" w:rsidRPr="00E73A97">
        <w:rPr>
          <w:lang w:val="vi-VN"/>
        </w:rPr>
        <w:br/>
      </w:r>
      <w:r w:rsidRPr="004046F9">
        <w:rPr>
          <w:lang w:val="vi-VN"/>
        </w:rPr>
        <w:t>ĐIỀU KHOẢN THI HÀNH</w:t>
      </w:r>
    </w:p>
    <w:p w:rsidR="00DB5B15" w:rsidRPr="00E73A97" w:rsidRDefault="00DB5B15" w:rsidP="00DF3E1B">
      <w:pPr>
        <w:pStyle w:val="Heading2"/>
        <w:rPr>
          <w:lang w:val="vi-VN"/>
        </w:rPr>
      </w:pPr>
      <w:r w:rsidRPr="004046F9">
        <w:rPr>
          <w:lang w:val="vi-VN"/>
        </w:rPr>
        <w:t>Điều 1</w:t>
      </w:r>
      <w:r w:rsidR="004162CA">
        <w:rPr>
          <w:rFonts w:ascii="Times New Roman" w:hAnsi="Times New Roman"/>
        </w:rPr>
        <w:t>2</w:t>
      </w:r>
      <w:r w:rsidRPr="004046F9">
        <w:rPr>
          <w:lang w:val="vi-VN"/>
        </w:rPr>
        <w:t xml:space="preserve">. </w:t>
      </w:r>
      <w:r w:rsidRPr="00E73A97">
        <w:rPr>
          <w:lang w:val="vi-VN"/>
        </w:rPr>
        <w:t>Trách nhiệm của các cơ quan chức năng địa phương trong tổ chức thực hiện chính sách hỗ trợ doanh nghiệp xuất khẩu phần mềm</w:t>
      </w:r>
    </w:p>
    <w:p w:rsidR="00DB5B15" w:rsidRPr="00F545F1" w:rsidRDefault="00DB5B15" w:rsidP="00DF3E1B">
      <w:pPr>
        <w:pStyle w:val="Para"/>
        <w:rPr>
          <w:lang w:val="vi-VN"/>
        </w:rPr>
      </w:pPr>
      <w:r w:rsidRPr="004046F9">
        <w:rPr>
          <w:lang w:val="vi-VN"/>
        </w:rPr>
        <w:t xml:space="preserve">1. Sở Thông tin và Truyền thông </w:t>
      </w:r>
      <w:r w:rsidRPr="00F545F1">
        <w:rPr>
          <w:lang w:val="vi-VN"/>
        </w:rPr>
        <w:t>chịu trách nhiệm:</w:t>
      </w:r>
    </w:p>
    <w:p w:rsidR="00DB5B15" w:rsidRPr="00F545F1" w:rsidRDefault="00DB5B15" w:rsidP="00DF3E1B">
      <w:pPr>
        <w:pStyle w:val="Para"/>
        <w:rPr>
          <w:lang w:val="vi-VN"/>
        </w:rPr>
      </w:pPr>
      <w:r w:rsidRPr="00F545F1">
        <w:rPr>
          <w:lang w:val="vi-VN"/>
        </w:rPr>
        <w:t>a. T</w:t>
      </w:r>
      <w:r w:rsidRPr="004046F9">
        <w:rPr>
          <w:lang w:val="vi-VN"/>
        </w:rPr>
        <w:t>heo dõi quá trình giải quyết hỗ trợ cho doanh nghiệp</w:t>
      </w:r>
      <w:r w:rsidR="009079E1">
        <w:t>.</w:t>
      </w:r>
    </w:p>
    <w:p w:rsidR="00DB5B15" w:rsidRPr="009079E1" w:rsidRDefault="00DB5B15" w:rsidP="00DF3E1B">
      <w:pPr>
        <w:pStyle w:val="Para"/>
      </w:pPr>
      <w:r w:rsidRPr="00F545F1">
        <w:rPr>
          <w:lang w:val="vi-VN"/>
        </w:rPr>
        <w:t>b.</w:t>
      </w:r>
      <w:r w:rsidRPr="004046F9">
        <w:rPr>
          <w:lang w:val="vi-VN"/>
        </w:rPr>
        <w:t xml:space="preserve"> </w:t>
      </w:r>
      <w:r w:rsidRPr="00F545F1">
        <w:rPr>
          <w:lang w:val="vi-VN"/>
        </w:rPr>
        <w:t>Đ</w:t>
      </w:r>
      <w:r w:rsidRPr="004046F9">
        <w:rPr>
          <w:lang w:val="vi-VN"/>
        </w:rPr>
        <w:t xml:space="preserve">ịnh kỳ </w:t>
      </w:r>
      <w:r w:rsidRPr="00F545F1">
        <w:rPr>
          <w:lang w:val="vi-VN"/>
        </w:rPr>
        <w:t xml:space="preserve">cuối </w:t>
      </w:r>
      <w:r w:rsidR="006578C6" w:rsidRPr="00E73A97">
        <w:rPr>
          <w:lang w:val="vi-VN"/>
        </w:rPr>
        <w:t>q</w:t>
      </w:r>
      <w:r w:rsidRPr="00F545F1">
        <w:rPr>
          <w:lang w:val="vi-VN"/>
        </w:rPr>
        <w:t xml:space="preserve">uý III </w:t>
      </w:r>
      <w:r w:rsidRPr="004046F9">
        <w:rPr>
          <w:lang w:val="vi-VN"/>
        </w:rPr>
        <w:t xml:space="preserve">hàng năm </w:t>
      </w:r>
      <w:r w:rsidRPr="00F545F1">
        <w:rPr>
          <w:lang w:val="vi-VN"/>
        </w:rPr>
        <w:t>lập kế hoạch, dự toán hỗ trợ doanh nghiệp gửi về Sở Tài chính để tổng hợp t</w:t>
      </w:r>
      <w:r w:rsidR="009079E1">
        <w:rPr>
          <w:lang w:val="vi-VN"/>
        </w:rPr>
        <w:t>rình UBND thành phố quyết định</w:t>
      </w:r>
      <w:r w:rsidR="009079E1">
        <w:t>.</w:t>
      </w:r>
    </w:p>
    <w:p w:rsidR="00DB5B15" w:rsidRPr="009079E1" w:rsidRDefault="00DB5B15" w:rsidP="00DF3E1B">
      <w:pPr>
        <w:pStyle w:val="Para"/>
      </w:pPr>
      <w:r w:rsidRPr="00F545F1">
        <w:rPr>
          <w:lang w:val="vi-VN"/>
        </w:rPr>
        <w:t>c. T</w:t>
      </w:r>
      <w:r w:rsidRPr="004046F9">
        <w:rPr>
          <w:lang w:val="vi-VN"/>
        </w:rPr>
        <w:t xml:space="preserve">hẩm định hồ sơ đề nghị hỗ trợ của doanh nghiệp </w:t>
      </w:r>
      <w:r w:rsidRPr="00F545F1">
        <w:rPr>
          <w:lang w:val="vi-VN"/>
        </w:rPr>
        <w:t>tại các khoản 1 v</w:t>
      </w:r>
      <w:r w:rsidR="009079E1">
        <w:rPr>
          <w:lang w:val="vi-VN"/>
        </w:rPr>
        <w:t xml:space="preserve">à </w:t>
      </w:r>
      <w:r w:rsidR="009079E1">
        <w:t xml:space="preserve">điểm a, điểm </w:t>
      </w:r>
      <w:r w:rsidR="004162CA">
        <w:t>b</w:t>
      </w:r>
      <w:r w:rsidR="009079E1">
        <w:t xml:space="preserve">, </w:t>
      </w:r>
      <w:r w:rsidR="009079E1">
        <w:rPr>
          <w:lang w:val="vi-VN"/>
        </w:rPr>
        <w:t xml:space="preserve">khoản </w:t>
      </w:r>
      <w:r w:rsidR="009079E1">
        <w:t>2</w:t>
      </w:r>
      <w:r w:rsidR="009079E1">
        <w:rPr>
          <w:lang w:val="vi-VN"/>
        </w:rPr>
        <w:t>, Điều 1</w:t>
      </w:r>
      <w:r w:rsidR="004462F1">
        <w:t>1</w:t>
      </w:r>
      <w:r w:rsidR="009079E1">
        <w:rPr>
          <w:lang w:val="vi-VN"/>
        </w:rPr>
        <w:t xml:space="preserve"> Quy định này</w:t>
      </w:r>
      <w:r w:rsidR="009079E1">
        <w:t>.</w:t>
      </w:r>
    </w:p>
    <w:p w:rsidR="00DB5B15" w:rsidRPr="00F545F1" w:rsidRDefault="00DB5B15" w:rsidP="00DF3E1B">
      <w:pPr>
        <w:pStyle w:val="Para"/>
        <w:rPr>
          <w:lang w:val="vi-VN"/>
        </w:rPr>
      </w:pPr>
      <w:r w:rsidRPr="00F545F1">
        <w:rPr>
          <w:lang w:val="vi-VN"/>
        </w:rPr>
        <w:t>d. Tổng hợp và báo cáo kết quả hàng năm cho UBND thành phố.</w:t>
      </w:r>
    </w:p>
    <w:p w:rsidR="00DB5B15" w:rsidRPr="00F545F1" w:rsidRDefault="00F05D08" w:rsidP="00DF3E1B">
      <w:pPr>
        <w:pStyle w:val="Para"/>
        <w:rPr>
          <w:lang w:val="vi-VN"/>
        </w:rPr>
      </w:pPr>
      <w:r>
        <w:t>2</w:t>
      </w:r>
      <w:r w:rsidR="00DB5B15" w:rsidRPr="004046F9">
        <w:rPr>
          <w:lang w:val="vi-VN"/>
        </w:rPr>
        <w:t>. Sở Khoa học và Công nghệ chịu trách nhiệm thẩm định các hồ sơ của doanh nghiệp</w:t>
      </w:r>
      <w:r w:rsidR="00DB5B15" w:rsidRPr="00F545F1">
        <w:rPr>
          <w:lang w:val="vi-VN"/>
        </w:rPr>
        <w:t xml:space="preserve"> tại </w:t>
      </w:r>
      <w:r w:rsidR="004C6726">
        <w:t xml:space="preserve">khoản 1 và điểm </w:t>
      </w:r>
      <w:r w:rsidR="004162CA">
        <w:t>c</w:t>
      </w:r>
      <w:r w:rsidR="004C6726">
        <w:t xml:space="preserve">, </w:t>
      </w:r>
      <w:r w:rsidR="004C6726" w:rsidRPr="00F545F1">
        <w:rPr>
          <w:lang w:val="vi-VN"/>
        </w:rPr>
        <w:t xml:space="preserve">khoản </w:t>
      </w:r>
      <w:r w:rsidR="004C6726">
        <w:t>2</w:t>
      </w:r>
      <w:r w:rsidR="004C6726" w:rsidRPr="00F545F1">
        <w:rPr>
          <w:lang w:val="vi-VN"/>
        </w:rPr>
        <w:t>, Điều 1</w:t>
      </w:r>
      <w:r w:rsidR="004462F1">
        <w:t>1</w:t>
      </w:r>
      <w:r w:rsidR="004C6726" w:rsidRPr="00F545F1">
        <w:rPr>
          <w:lang w:val="vi-VN"/>
        </w:rPr>
        <w:t xml:space="preserve"> Quy định này</w:t>
      </w:r>
      <w:r w:rsidR="00DB5B15" w:rsidRPr="00F545F1">
        <w:rPr>
          <w:lang w:val="vi-VN"/>
        </w:rPr>
        <w:t>.</w:t>
      </w:r>
    </w:p>
    <w:p w:rsidR="00F05D08" w:rsidRPr="00F545F1" w:rsidRDefault="00F05D08" w:rsidP="00F05D08">
      <w:pPr>
        <w:pStyle w:val="Para"/>
        <w:rPr>
          <w:lang w:val="vi-VN"/>
        </w:rPr>
      </w:pPr>
      <w:r>
        <w:t>3</w:t>
      </w:r>
      <w:r w:rsidRPr="004046F9">
        <w:rPr>
          <w:lang w:val="vi-VN"/>
        </w:rPr>
        <w:t xml:space="preserve">. Sở Công </w:t>
      </w:r>
      <w:r w:rsidRPr="00E73A97">
        <w:rPr>
          <w:lang w:val="vi-VN"/>
        </w:rPr>
        <w:t>T</w:t>
      </w:r>
      <w:r w:rsidRPr="004046F9">
        <w:rPr>
          <w:lang w:val="vi-VN"/>
        </w:rPr>
        <w:t xml:space="preserve">hương chịu trách nhiệm thẩm định các hồ sơ đề nghị hỗ trợ của doanh nghiệp </w:t>
      </w:r>
      <w:r w:rsidRPr="00F545F1">
        <w:rPr>
          <w:lang w:val="vi-VN"/>
        </w:rPr>
        <w:t xml:space="preserve">tại </w:t>
      </w:r>
      <w:r>
        <w:t xml:space="preserve">khoản 1 và điểm </w:t>
      </w:r>
      <w:r w:rsidR="004162CA">
        <w:t>d</w:t>
      </w:r>
      <w:r>
        <w:t xml:space="preserve">, </w:t>
      </w:r>
      <w:r w:rsidRPr="00F545F1">
        <w:rPr>
          <w:lang w:val="vi-VN"/>
        </w:rPr>
        <w:t xml:space="preserve">khoản </w:t>
      </w:r>
      <w:r>
        <w:t>2</w:t>
      </w:r>
      <w:r w:rsidRPr="00F545F1">
        <w:rPr>
          <w:lang w:val="vi-VN"/>
        </w:rPr>
        <w:t>, Điều 1</w:t>
      </w:r>
      <w:r w:rsidR="004462F1">
        <w:t>1</w:t>
      </w:r>
      <w:r w:rsidRPr="00F545F1">
        <w:rPr>
          <w:lang w:val="vi-VN"/>
        </w:rPr>
        <w:t xml:space="preserve"> Quy định này.</w:t>
      </w:r>
    </w:p>
    <w:p w:rsidR="00DB5B15" w:rsidRPr="00F545F1" w:rsidRDefault="00C119F2" w:rsidP="00DF3E1B">
      <w:pPr>
        <w:pStyle w:val="Para"/>
        <w:rPr>
          <w:lang w:val="vi-VN"/>
        </w:rPr>
      </w:pPr>
      <w:r>
        <w:lastRenderedPageBreak/>
        <w:t>4</w:t>
      </w:r>
      <w:r w:rsidR="00DB5B15" w:rsidRPr="004046F9">
        <w:rPr>
          <w:lang w:val="vi-VN"/>
        </w:rPr>
        <w:t xml:space="preserve">. Quỹ </w:t>
      </w:r>
      <w:r w:rsidR="006578C6" w:rsidRPr="00E73A97">
        <w:rPr>
          <w:lang w:val="vi-VN"/>
        </w:rPr>
        <w:t>Đ</w:t>
      </w:r>
      <w:r w:rsidR="00DB5B15" w:rsidRPr="004046F9">
        <w:rPr>
          <w:lang w:val="vi-VN"/>
        </w:rPr>
        <w:t>ầu tư phát triển</w:t>
      </w:r>
      <w:r w:rsidR="004C6726">
        <w:t xml:space="preserve"> thành phố</w:t>
      </w:r>
      <w:r w:rsidR="00DB5B15" w:rsidRPr="004046F9">
        <w:rPr>
          <w:lang w:val="vi-VN"/>
        </w:rPr>
        <w:t xml:space="preserve"> chịu trách nhiệm thẩm định hồ sơ </w:t>
      </w:r>
      <w:r w:rsidR="00DB5B15" w:rsidRPr="00F545F1">
        <w:rPr>
          <w:lang w:val="vi-VN"/>
        </w:rPr>
        <w:t xml:space="preserve">của doanh nghiệp tại </w:t>
      </w:r>
      <w:r w:rsidR="004C6726">
        <w:t xml:space="preserve">khoản 1 và điểm </w:t>
      </w:r>
      <w:r w:rsidR="004162CA">
        <w:t>e</w:t>
      </w:r>
      <w:r w:rsidR="004C6726">
        <w:t xml:space="preserve">, </w:t>
      </w:r>
      <w:r w:rsidR="004C6726" w:rsidRPr="00F545F1">
        <w:rPr>
          <w:lang w:val="vi-VN"/>
        </w:rPr>
        <w:t xml:space="preserve">khoản </w:t>
      </w:r>
      <w:r w:rsidR="004C6726">
        <w:t>2</w:t>
      </w:r>
      <w:r w:rsidR="004C6726" w:rsidRPr="00F545F1">
        <w:rPr>
          <w:lang w:val="vi-VN"/>
        </w:rPr>
        <w:t>, Điều 1</w:t>
      </w:r>
      <w:r w:rsidR="004462F1">
        <w:t>1</w:t>
      </w:r>
      <w:r w:rsidR="004C6726" w:rsidRPr="00F545F1">
        <w:rPr>
          <w:lang w:val="vi-VN"/>
        </w:rPr>
        <w:t xml:space="preserve"> Quy định này</w:t>
      </w:r>
      <w:r w:rsidR="00DB5B15" w:rsidRPr="00F545F1">
        <w:rPr>
          <w:lang w:val="vi-VN"/>
        </w:rPr>
        <w:t>.</w:t>
      </w:r>
    </w:p>
    <w:p w:rsidR="00DB5B15" w:rsidRPr="00F545F1" w:rsidRDefault="00C119F2" w:rsidP="00255BFF">
      <w:pPr>
        <w:pStyle w:val="Para"/>
        <w:rPr>
          <w:lang w:val="vi-VN"/>
        </w:rPr>
      </w:pPr>
      <w:r>
        <w:t>5</w:t>
      </w:r>
      <w:r w:rsidR="00DB5B15" w:rsidRPr="004046F9">
        <w:rPr>
          <w:lang w:val="vi-VN"/>
        </w:rPr>
        <w:t>. Sở Tài chính chủ trì</w:t>
      </w:r>
      <w:r w:rsidR="006578C6" w:rsidRPr="00E73A97">
        <w:rPr>
          <w:lang w:val="vi-VN"/>
        </w:rPr>
        <w:t>,</w:t>
      </w:r>
      <w:r w:rsidR="00DB5B15" w:rsidRPr="004046F9">
        <w:rPr>
          <w:lang w:val="vi-VN"/>
        </w:rPr>
        <w:t xml:space="preserve"> phối hợp với Sở Kế hoạch và Đầu tư</w:t>
      </w:r>
      <w:r w:rsidR="00DB5B15" w:rsidRPr="00F545F1">
        <w:rPr>
          <w:lang w:val="vi-VN"/>
        </w:rPr>
        <w:t xml:space="preserve"> căn cứ vào kết quả thẩm định và đề nghị của các cơ quan chức năng liên quan tổng hợp và </w:t>
      </w:r>
      <w:r w:rsidR="00DB5B15" w:rsidRPr="004046F9">
        <w:rPr>
          <w:lang w:val="vi-VN"/>
        </w:rPr>
        <w:t xml:space="preserve">bố trí nguồn </w:t>
      </w:r>
      <w:r w:rsidR="00DB5B15" w:rsidRPr="00F545F1">
        <w:rPr>
          <w:lang w:val="vi-VN"/>
        </w:rPr>
        <w:t>kinh phí</w:t>
      </w:r>
      <w:r w:rsidR="00DB5B15" w:rsidRPr="004046F9">
        <w:rPr>
          <w:lang w:val="vi-VN"/>
        </w:rPr>
        <w:t xml:space="preserve"> </w:t>
      </w:r>
      <w:r w:rsidR="00DB5B15" w:rsidRPr="00F545F1">
        <w:rPr>
          <w:lang w:val="vi-VN"/>
        </w:rPr>
        <w:t xml:space="preserve">hàng năm </w:t>
      </w:r>
      <w:r w:rsidR="00DB5B15" w:rsidRPr="004046F9">
        <w:rPr>
          <w:lang w:val="vi-VN"/>
        </w:rPr>
        <w:t xml:space="preserve">cho các hoạt động hỗ trợ doanh nghiệp xuất khẩu phần mềm trình </w:t>
      </w:r>
      <w:r w:rsidR="004C6726">
        <w:t>Ủy ban nhân dân</w:t>
      </w:r>
      <w:r w:rsidR="00DB5B15" w:rsidRPr="004046F9">
        <w:rPr>
          <w:lang w:val="vi-VN"/>
        </w:rPr>
        <w:t xml:space="preserve"> thành phố quyết định</w:t>
      </w:r>
      <w:r w:rsidR="00DB5B15" w:rsidRPr="00F545F1">
        <w:rPr>
          <w:lang w:val="vi-VN"/>
        </w:rPr>
        <w:t>.</w:t>
      </w:r>
    </w:p>
    <w:p w:rsidR="00DF3E1B" w:rsidRPr="00E73A97" w:rsidRDefault="00C119F2" w:rsidP="00B84631">
      <w:pPr>
        <w:pStyle w:val="Para"/>
        <w:rPr>
          <w:lang w:val="vi-VN"/>
        </w:rPr>
      </w:pPr>
      <w:r>
        <w:t>6</w:t>
      </w:r>
      <w:r w:rsidR="00DB5B15" w:rsidRPr="00F545F1">
        <w:rPr>
          <w:lang w:val="vi-VN"/>
        </w:rPr>
        <w:t>. Kinh phí cho chính sách hỗ trợ này được trích từ nguồn ngân sách thành phố.</w:t>
      </w:r>
    </w:p>
    <w:p w:rsidR="00DB5B15" w:rsidRPr="00E73A97" w:rsidRDefault="00DB5B15" w:rsidP="00DF3E1B">
      <w:pPr>
        <w:pStyle w:val="Para"/>
        <w:rPr>
          <w:b/>
          <w:szCs w:val="28"/>
          <w:lang w:val="vi-VN"/>
        </w:rPr>
      </w:pPr>
      <w:r w:rsidRPr="004046F9">
        <w:rPr>
          <w:b/>
          <w:lang w:val="vi-VN"/>
        </w:rPr>
        <w:t>Điều 1</w:t>
      </w:r>
      <w:r w:rsidR="004162CA">
        <w:rPr>
          <w:b/>
        </w:rPr>
        <w:t>3</w:t>
      </w:r>
      <w:r w:rsidRPr="004046F9">
        <w:rPr>
          <w:b/>
          <w:lang w:val="vi-VN"/>
        </w:rPr>
        <w:t>.</w:t>
      </w:r>
      <w:r w:rsidRPr="004046F9">
        <w:rPr>
          <w:lang w:val="vi-VN"/>
        </w:rPr>
        <w:t xml:space="preserve"> Các Sở, ban, ngành và các đơn vị liên quan có trách nhiệm phối hợp chặt chẽ, giải quyết kịp thời những đề nghị của doanh nghiệp theo chức năng, nhiệm vụ đã phân công tại Quy định này.</w:t>
      </w:r>
    </w:p>
    <w:p w:rsidR="00DB5B15" w:rsidRPr="004046F9" w:rsidRDefault="00DB5B15" w:rsidP="00DF3E1B">
      <w:pPr>
        <w:pStyle w:val="Para"/>
        <w:rPr>
          <w:lang w:val="vi-VN"/>
        </w:rPr>
      </w:pPr>
      <w:r w:rsidRPr="004046F9">
        <w:rPr>
          <w:b/>
          <w:lang w:val="vi-VN"/>
        </w:rPr>
        <w:t>Điều 1</w:t>
      </w:r>
      <w:r w:rsidR="004162CA">
        <w:rPr>
          <w:b/>
        </w:rPr>
        <w:t>4</w:t>
      </w:r>
      <w:r w:rsidRPr="004046F9">
        <w:rPr>
          <w:b/>
          <w:lang w:val="vi-VN"/>
        </w:rPr>
        <w:t>.</w:t>
      </w:r>
      <w:r w:rsidRPr="004046F9">
        <w:rPr>
          <w:lang w:val="vi-VN"/>
        </w:rPr>
        <w:t xml:space="preserve"> Các doanh nghiệp phần mềm có trách nhiệm quản lý, sử dụng có hiệu q</w:t>
      </w:r>
      <w:r w:rsidRPr="00F545F1">
        <w:rPr>
          <w:lang w:val="vi-VN"/>
        </w:rPr>
        <w:t>uả</w:t>
      </w:r>
      <w:r w:rsidRPr="004046F9">
        <w:rPr>
          <w:lang w:val="vi-VN"/>
        </w:rPr>
        <w:t xml:space="preserve"> nguồn kinh phí được hỗ trợ đúng theo phương án đã được </w:t>
      </w:r>
      <w:r w:rsidR="00BE1A4E">
        <w:t xml:space="preserve">Ủy ban nhân dân </w:t>
      </w:r>
      <w:r w:rsidRPr="004046F9">
        <w:rPr>
          <w:lang w:val="vi-VN"/>
        </w:rPr>
        <w:t>thành phố Đà Nẵng phê duyệt và chịu sự kiểm tra, giám sát của Sở Thông tin và Truyền thông và các cơ quan liên quan quy định trong Quy định này.</w:t>
      </w:r>
    </w:p>
    <w:p w:rsidR="0071525B" w:rsidRPr="00E73A97" w:rsidRDefault="00DB5B15" w:rsidP="00B84631">
      <w:pPr>
        <w:pStyle w:val="Para"/>
        <w:rPr>
          <w:lang w:val="vi-VN"/>
        </w:rPr>
      </w:pPr>
      <w:r w:rsidRPr="004046F9">
        <w:rPr>
          <w:b/>
          <w:lang w:val="vi-VN"/>
        </w:rPr>
        <w:t>Điều 1</w:t>
      </w:r>
      <w:r w:rsidR="004162CA">
        <w:rPr>
          <w:b/>
        </w:rPr>
        <w:t>5</w:t>
      </w:r>
      <w:r w:rsidRPr="004046F9">
        <w:rPr>
          <w:b/>
          <w:lang w:val="vi-VN"/>
        </w:rPr>
        <w:t>.</w:t>
      </w:r>
      <w:r w:rsidRPr="004046F9">
        <w:rPr>
          <w:lang w:val="vi-VN"/>
        </w:rPr>
        <w:t xml:space="preserve"> Trong quá trình thực hiện, nếu có vướng mắc các cơ quan, doanh nghiệp cần phản ánh kịp thời về Sở Thông tin và Truyền thông để nghiên cứu</w:t>
      </w:r>
      <w:r w:rsidR="00B84631" w:rsidRPr="00E73A97">
        <w:rPr>
          <w:lang w:val="vi-VN"/>
        </w:rPr>
        <w:t>,</w:t>
      </w:r>
      <w:r w:rsidRPr="004046F9">
        <w:rPr>
          <w:lang w:val="vi-VN"/>
        </w:rPr>
        <w:t xml:space="preserve"> đề xuất </w:t>
      </w:r>
      <w:r w:rsidR="005E71CD">
        <w:t>Ủy ban nhân dân</w:t>
      </w:r>
      <w:r w:rsidRPr="004046F9">
        <w:rPr>
          <w:lang w:val="vi-VN"/>
        </w:rPr>
        <w:t xml:space="preserve"> thành phố sửa đổi, bổ sung Quy định cho phù hợp với tình hình thực tế.</w:t>
      </w:r>
      <w:r w:rsidRPr="00E73A97">
        <w:rPr>
          <w:lang w:val="vi-VN"/>
        </w:rPr>
        <w:t>/</w:t>
      </w:r>
      <w:r w:rsidR="008C2A7D" w:rsidRPr="00E73A97">
        <w:rPr>
          <w:lang w:val="vi-VN"/>
        </w:rPr>
        <w:t>.</w:t>
      </w:r>
    </w:p>
    <w:p w:rsidR="008C2A7D" w:rsidRPr="00E73A97" w:rsidRDefault="008C2A7D" w:rsidP="00DF3E1B">
      <w:pPr>
        <w:rPr>
          <w:lang w:val="vi-VN"/>
        </w:rPr>
      </w:pPr>
    </w:p>
    <w:tbl>
      <w:tblPr>
        <w:tblW w:w="0" w:type="auto"/>
        <w:tblLook w:val="04A0" w:firstRow="1" w:lastRow="0" w:firstColumn="1" w:lastColumn="0" w:noHBand="0" w:noVBand="1"/>
      </w:tblPr>
      <w:tblGrid>
        <w:gridCol w:w="4586"/>
        <w:gridCol w:w="4704"/>
      </w:tblGrid>
      <w:tr w:rsidR="008C2A7D" w:rsidRPr="00E73A97">
        <w:trPr>
          <w:trHeight w:val="80"/>
        </w:trPr>
        <w:tc>
          <w:tcPr>
            <w:tcW w:w="4586" w:type="dxa"/>
            <w:vAlign w:val="bottom"/>
          </w:tcPr>
          <w:p w:rsidR="008C2A7D" w:rsidRPr="00E73A97" w:rsidRDefault="008C2A7D" w:rsidP="008C2A7D">
            <w:pPr>
              <w:rPr>
                <w:lang w:val="vi-VN"/>
              </w:rPr>
            </w:pPr>
          </w:p>
        </w:tc>
        <w:tc>
          <w:tcPr>
            <w:tcW w:w="4704" w:type="dxa"/>
          </w:tcPr>
          <w:p w:rsidR="008C2A7D" w:rsidRPr="00E73A97" w:rsidRDefault="00A86D7F" w:rsidP="00325D81">
            <w:pPr>
              <w:pStyle w:val="Center4"/>
              <w:rPr>
                <w:lang w:val="vi-VN"/>
              </w:rPr>
            </w:pPr>
            <w:r>
              <w:rPr>
                <w:rFonts w:ascii="Times New Roman" w:hAnsi="Times New Roman"/>
              </w:rPr>
              <w:t xml:space="preserve">  </w:t>
            </w:r>
            <w:r w:rsidR="008C2A7D" w:rsidRPr="00472F37">
              <w:rPr>
                <w:lang w:val="vi-VN"/>
              </w:rPr>
              <w:t>TM. ỦY BAN NHÂN DÂN</w:t>
            </w:r>
          </w:p>
          <w:p w:rsidR="008C2A7D" w:rsidRPr="00E73A97" w:rsidRDefault="00A86D7F" w:rsidP="00325D81">
            <w:pPr>
              <w:pStyle w:val="Center4"/>
              <w:rPr>
                <w:rFonts w:ascii="Times New Roman" w:hAnsi="Times New Roman"/>
                <w:lang w:val="vi-VN"/>
              </w:rPr>
            </w:pPr>
            <w:r>
              <w:rPr>
                <w:rFonts w:ascii="Times New Roman" w:hAnsi="Times New Roman"/>
              </w:rPr>
              <w:t xml:space="preserve">         </w:t>
            </w:r>
            <w:r w:rsidR="008C2A7D" w:rsidRPr="00472F37">
              <w:rPr>
                <w:lang w:val="vi-VN"/>
              </w:rPr>
              <w:t>CHỦ TỊCH</w:t>
            </w:r>
          </w:p>
        </w:tc>
      </w:tr>
      <w:tr w:rsidR="008C2A7D" w:rsidRPr="00472F37">
        <w:trPr>
          <w:trHeight w:val="80"/>
        </w:trPr>
        <w:tc>
          <w:tcPr>
            <w:tcW w:w="4586" w:type="dxa"/>
          </w:tcPr>
          <w:p w:rsidR="008C2A7D" w:rsidRPr="00472F37" w:rsidRDefault="008C2A7D" w:rsidP="008C2A7D">
            <w:pPr>
              <w:rPr>
                <w:lang w:val="vi-VN"/>
              </w:rPr>
            </w:pPr>
          </w:p>
        </w:tc>
        <w:tc>
          <w:tcPr>
            <w:tcW w:w="4704" w:type="dxa"/>
          </w:tcPr>
          <w:p w:rsidR="008C2A7D" w:rsidRDefault="008C2A7D" w:rsidP="00325D81">
            <w:pPr>
              <w:pStyle w:val="Center4"/>
              <w:rPr>
                <w:rFonts w:ascii="Times New Roman" w:hAnsi="Times New Roman"/>
              </w:rPr>
            </w:pPr>
          </w:p>
          <w:p w:rsidR="008C2A7D" w:rsidRPr="004452A5" w:rsidRDefault="008C2A7D" w:rsidP="00325D81">
            <w:pPr>
              <w:pStyle w:val="Center4"/>
            </w:pPr>
            <w:r w:rsidRPr="00E73A97">
              <w:rPr>
                <w:lang w:val="vi-VN"/>
              </w:rPr>
              <w:tab/>
            </w:r>
            <w:r w:rsidR="000D64BB">
              <w:t>Văn Hữu chiến</w:t>
            </w:r>
          </w:p>
        </w:tc>
      </w:tr>
    </w:tbl>
    <w:p w:rsidR="006A017A" w:rsidRPr="003F3056" w:rsidRDefault="006A017A" w:rsidP="008C2A7D"/>
    <w:sectPr w:rsidR="006A017A" w:rsidRPr="003F3056" w:rsidSect="00A86D7F">
      <w:footerReference w:type="even" r:id="rId7"/>
      <w:footerReference w:type="default" r:id="rId8"/>
      <w:pgSz w:w="11907" w:h="16840" w:code="9"/>
      <w:pgMar w:top="147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38" w:rsidRDefault="00602338">
      <w:r>
        <w:separator/>
      </w:r>
    </w:p>
  </w:endnote>
  <w:endnote w:type="continuationSeparator" w:id="0">
    <w:p w:rsidR="00602338" w:rsidRDefault="0060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B8" w:rsidRDefault="00DB1DB8" w:rsidP="00412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1DB8" w:rsidRDefault="00DB1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DB8" w:rsidRDefault="00DB1DB8" w:rsidP="00A86D7F">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38" w:rsidRDefault="00602338">
      <w:r>
        <w:separator/>
      </w:r>
    </w:p>
  </w:footnote>
  <w:footnote w:type="continuationSeparator" w:id="0">
    <w:p w:rsidR="00602338" w:rsidRDefault="00602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0128"/>
    <w:multiLevelType w:val="hybridMultilevel"/>
    <w:tmpl w:val="15CC8C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B106F"/>
    <w:multiLevelType w:val="hybridMultilevel"/>
    <w:tmpl w:val="D524721C"/>
    <w:lvl w:ilvl="0" w:tplc="CA9C6E4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 w15:restartNumberingAfterBreak="0">
    <w:nsid w:val="31A13324"/>
    <w:multiLevelType w:val="hybridMultilevel"/>
    <w:tmpl w:val="4FEA4AAE"/>
    <w:lvl w:ilvl="0" w:tplc="F65227FC">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42632493"/>
    <w:multiLevelType w:val="hybridMultilevel"/>
    <w:tmpl w:val="5BE4952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3D3418"/>
    <w:multiLevelType w:val="multilevel"/>
    <w:tmpl w:val="88D83E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8C307B"/>
    <w:multiLevelType w:val="hybridMultilevel"/>
    <w:tmpl w:val="B26EBCDC"/>
    <w:lvl w:ilvl="0" w:tplc="0E8EBD7C">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9"/>
    <w:rsid w:val="00011E64"/>
    <w:rsid w:val="00022828"/>
    <w:rsid w:val="00031191"/>
    <w:rsid w:val="00040CBB"/>
    <w:rsid w:val="000427F4"/>
    <w:rsid w:val="00044638"/>
    <w:rsid w:val="00045BEA"/>
    <w:rsid w:val="00053E9A"/>
    <w:rsid w:val="00054548"/>
    <w:rsid w:val="000620DC"/>
    <w:rsid w:val="00062FBC"/>
    <w:rsid w:val="0007139C"/>
    <w:rsid w:val="00082C9E"/>
    <w:rsid w:val="00086D5B"/>
    <w:rsid w:val="00091627"/>
    <w:rsid w:val="00091C09"/>
    <w:rsid w:val="000A588A"/>
    <w:rsid w:val="000B5AC7"/>
    <w:rsid w:val="000D0698"/>
    <w:rsid w:val="000D0D68"/>
    <w:rsid w:val="000D64BB"/>
    <w:rsid w:val="000E1CE5"/>
    <w:rsid w:val="000F3308"/>
    <w:rsid w:val="000F3BBE"/>
    <w:rsid w:val="000F6212"/>
    <w:rsid w:val="001026C5"/>
    <w:rsid w:val="0010555D"/>
    <w:rsid w:val="001244CC"/>
    <w:rsid w:val="0012484C"/>
    <w:rsid w:val="00126BB9"/>
    <w:rsid w:val="00132E47"/>
    <w:rsid w:val="001355DA"/>
    <w:rsid w:val="00137CCB"/>
    <w:rsid w:val="001475EA"/>
    <w:rsid w:val="0015045D"/>
    <w:rsid w:val="0015082D"/>
    <w:rsid w:val="001510F3"/>
    <w:rsid w:val="00154911"/>
    <w:rsid w:val="00167155"/>
    <w:rsid w:val="00167ABE"/>
    <w:rsid w:val="001716E2"/>
    <w:rsid w:val="00180820"/>
    <w:rsid w:val="00185F93"/>
    <w:rsid w:val="00186680"/>
    <w:rsid w:val="00194790"/>
    <w:rsid w:val="001953EF"/>
    <w:rsid w:val="0019605C"/>
    <w:rsid w:val="001A0FF1"/>
    <w:rsid w:val="001A3773"/>
    <w:rsid w:val="001B2415"/>
    <w:rsid w:val="001D104D"/>
    <w:rsid w:val="001D1B03"/>
    <w:rsid w:val="001E016D"/>
    <w:rsid w:val="00200A3F"/>
    <w:rsid w:val="00212662"/>
    <w:rsid w:val="00213783"/>
    <w:rsid w:val="002161BD"/>
    <w:rsid w:val="00223171"/>
    <w:rsid w:val="00227086"/>
    <w:rsid w:val="002319FE"/>
    <w:rsid w:val="00232E16"/>
    <w:rsid w:val="002442FE"/>
    <w:rsid w:val="002515D2"/>
    <w:rsid w:val="00254806"/>
    <w:rsid w:val="00255BFF"/>
    <w:rsid w:val="00266CDB"/>
    <w:rsid w:val="00267903"/>
    <w:rsid w:val="0027082A"/>
    <w:rsid w:val="0027278E"/>
    <w:rsid w:val="002764D9"/>
    <w:rsid w:val="00276579"/>
    <w:rsid w:val="0028064A"/>
    <w:rsid w:val="00282A80"/>
    <w:rsid w:val="0029379F"/>
    <w:rsid w:val="002A03CA"/>
    <w:rsid w:val="002C48D0"/>
    <w:rsid w:val="002C50E7"/>
    <w:rsid w:val="002C5882"/>
    <w:rsid w:val="002D7401"/>
    <w:rsid w:val="002E0123"/>
    <w:rsid w:val="002E1B51"/>
    <w:rsid w:val="002F1AAA"/>
    <w:rsid w:val="002F4797"/>
    <w:rsid w:val="002F639E"/>
    <w:rsid w:val="00302864"/>
    <w:rsid w:val="00314EE5"/>
    <w:rsid w:val="003163C2"/>
    <w:rsid w:val="003173E8"/>
    <w:rsid w:val="00322C40"/>
    <w:rsid w:val="00325A3F"/>
    <w:rsid w:val="00325D81"/>
    <w:rsid w:val="00344469"/>
    <w:rsid w:val="00356440"/>
    <w:rsid w:val="00360895"/>
    <w:rsid w:val="00360BF6"/>
    <w:rsid w:val="0036100B"/>
    <w:rsid w:val="00361262"/>
    <w:rsid w:val="00377195"/>
    <w:rsid w:val="00384E39"/>
    <w:rsid w:val="00387A97"/>
    <w:rsid w:val="003964AA"/>
    <w:rsid w:val="003A795F"/>
    <w:rsid w:val="003B06B3"/>
    <w:rsid w:val="003C2A15"/>
    <w:rsid w:val="003C2D5B"/>
    <w:rsid w:val="003C6933"/>
    <w:rsid w:val="003C7B7E"/>
    <w:rsid w:val="003C7CC4"/>
    <w:rsid w:val="003D5DBC"/>
    <w:rsid w:val="003D7C29"/>
    <w:rsid w:val="003E4261"/>
    <w:rsid w:val="003F3056"/>
    <w:rsid w:val="003F7EA4"/>
    <w:rsid w:val="00400F39"/>
    <w:rsid w:val="00403DD3"/>
    <w:rsid w:val="004046F9"/>
    <w:rsid w:val="0040517D"/>
    <w:rsid w:val="00406381"/>
    <w:rsid w:val="00406676"/>
    <w:rsid w:val="00412D99"/>
    <w:rsid w:val="004162CA"/>
    <w:rsid w:val="00416965"/>
    <w:rsid w:val="0041742E"/>
    <w:rsid w:val="004208D5"/>
    <w:rsid w:val="00420E65"/>
    <w:rsid w:val="00421BB5"/>
    <w:rsid w:val="00436E9E"/>
    <w:rsid w:val="0044244C"/>
    <w:rsid w:val="004462F1"/>
    <w:rsid w:val="00446DD0"/>
    <w:rsid w:val="00453A3F"/>
    <w:rsid w:val="0046703A"/>
    <w:rsid w:val="004815EE"/>
    <w:rsid w:val="00483989"/>
    <w:rsid w:val="004900A0"/>
    <w:rsid w:val="004A1AB4"/>
    <w:rsid w:val="004B1057"/>
    <w:rsid w:val="004B484D"/>
    <w:rsid w:val="004B4BD0"/>
    <w:rsid w:val="004B5FB7"/>
    <w:rsid w:val="004C6726"/>
    <w:rsid w:val="004C7BEC"/>
    <w:rsid w:val="004E55FB"/>
    <w:rsid w:val="004E5A16"/>
    <w:rsid w:val="004E6CB6"/>
    <w:rsid w:val="004F0877"/>
    <w:rsid w:val="004F0D37"/>
    <w:rsid w:val="004F4240"/>
    <w:rsid w:val="004F4845"/>
    <w:rsid w:val="00503E9B"/>
    <w:rsid w:val="00504F53"/>
    <w:rsid w:val="00510A02"/>
    <w:rsid w:val="005217C3"/>
    <w:rsid w:val="00524C2C"/>
    <w:rsid w:val="00534315"/>
    <w:rsid w:val="00545FEB"/>
    <w:rsid w:val="005519DE"/>
    <w:rsid w:val="0055635F"/>
    <w:rsid w:val="00563A9D"/>
    <w:rsid w:val="00565EC9"/>
    <w:rsid w:val="0057063C"/>
    <w:rsid w:val="00574256"/>
    <w:rsid w:val="0058703E"/>
    <w:rsid w:val="00597175"/>
    <w:rsid w:val="00597A0D"/>
    <w:rsid w:val="005A3F29"/>
    <w:rsid w:val="005A7F95"/>
    <w:rsid w:val="005C3759"/>
    <w:rsid w:val="005C503A"/>
    <w:rsid w:val="005D2FC7"/>
    <w:rsid w:val="005E03AA"/>
    <w:rsid w:val="005E71CD"/>
    <w:rsid w:val="005F4F52"/>
    <w:rsid w:val="005F51FD"/>
    <w:rsid w:val="00602338"/>
    <w:rsid w:val="00620F80"/>
    <w:rsid w:val="00644201"/>
    <w:rsid w:val="00654520"/>
    <w:rsid w:val="006578C6"/>
    <w:rsid w:val="00660C5D"/>
    <w:rsid w:val="00663197"/>
    <w:rsid w:val="00663955"/>
    <w:rsid w:val="00672536"/>
    <w:rsid w:val="00673706"/>
    <w:rsid w:val="00674D25"/>
    <w:rsid w:val="0068411D"/>
    <w:rsid w:val="00684DFB"/>
    <w:rsid w:val="00692148"/>
    <w:rsid w:val="00694EAD"/>
    <w:rsid w:val="006A017A"/>
    <w:rsid w:val="006B25B6"/>
    <w:rsid w:val="006B609D"/>
    <w:rsid w:val="006D0C67"/>
    <w:rsid w:val="006E52C9"/>
    <w:rsid w:val="006E7C61"/>
    <w:rsid w:val="006F61F4"/>
    <w:rsid w:val="00701A3B"/>
    <w:rsid w:val="00705CDB"/>
    <w:rsid w:val="00712F41"/>
    <w:rsid w:val="0071525B"/>
    <w:rsid w:val="00717782"/>
    <w:rsid w:val="0072137B"/>
    <w:rsid w:val="00723771"/>
    <w:rsid w:val="007309C4"/>
    <w:rsid w:val="00731D5D"/>
    <w:rsid w:val="007530E5"/>
    <w:rsid w:val="00755952"/>
    <w:rsid w:val="00770433"/>
    <w:rsid w:val="007705F3"/>
    <w:rsid w:val="00784BAE"/>
    <w:rsid w:val="00785AF5"/>
    <w:rsid w:val="007A3EC8"/>
    <w:rsid w:val="007A54B6"/>
    <w:rsid w:val="007A66B9"/>
    <w:rsid w:val="007C07AA"/>
    <w:rsid w:val="007C08ED"/>
    <w:rsid w:val="007C0AE0"/>
    <w:rsid w:val="007C5732"/>
    <w:rsid w:val="007C74B5"/>
    <w:rsid w:val="007E1D54"/>
    <w:rsid w:val="007E44F4"/>
    <w:rsid w:val="007E6498"/>
    <w:rsid w:val="007E6F4A"/>
    <w:rsid w:val="007E7B1B"/>
    <w:rsid w:val="007F1D19"/>
    <w:rsid w:val="007F39FD"/>
    <w:rsid w:val="008118B3"/>
    <w:rsid w:val="008209B2"/>
    <w:rsid w:val="00835993"/>
    <w:rsid w:val="008376B1"/>
    <w:rsid w:val="008460D0"/>
    <w:rsid w:val="008468B7"/>
    <w:rsid w:val="0085124E"/>
    <w:rsid w:val="00855595"/>
    <w:rsid w:val="008564D0"/>
    <w:rsid w:val="00864B1D"/>
    <w:rsid w:val="00866173"/>
    <w:rsid w:val="00870024"/>
    <w:rsid w:val="00872BA2"/>
    <w:rsid w:val="00873A66"/>
    <w:rsid w:val="008804DF"/>
    <w:rsid w:val="008808AC"/>
    <w:rsid w:val="008811FE"/>
    <w:rsid w:val="008842F8"/>
    <w:rsid w:val="00897C71"/>
    <w:rsid w:val="008C1C95"/>
    <w:rsid w:val="008C209D"/>
    <w:rsid w:val="008C2A7D"/>
    <w:rsid w:val="008C33A7"/>
    <w:rsid w:val="008C3566"/>
    <w:rsid w:val="008D1033"/>
    <w:rsid w:val="008D4670"/>
    <w:rsid w:val="008D75F6"/>
    <w:rsid w:val="008E6FC4"/>
    <w:rsid w:val="008F107F"/>
    <w:rsid w:val="008F317F"/>
    <w:rsid w:val="00904E24"/>
    <w:rsid w:val="00907351"/>
    <w:rsid w:val="009079E1"/>
    <w:rsid w:val="00912D45"/>
    <w:rsid w:val="00935068"/>
    <w:rsid w:val="009352EA"/>
    <w:rsid w:val="00942E5E"/>
    <w:rsid w:val="0094304D"/>
    <w:rsid w:val="00943C66"/>
    <w:rsid w:val="0095007B"/>
    <w:rsid w:val="009548CD"/>
    <w:rsid w:val="009553BC"/>
    <w:rsid w:val="00955C56"/>
    <w:rsid w:val="00966E57"/>
    <w:rsid w:val="0099431D"/>
    <w:rsid w:val="00994936"/>
    <w:rsid w:val="00994F73"/>
    <w:rsid w:val="00995C0F"/>
    <w:rsid w:val="009A4658"/>
    <w:rsid w:val="009B013C"/>
    <w:rsid w:val="009B4624"/>
    <w:rsid w:val="009C10E7"/>
    <w:rsid w:val="009D2C00"/>
    <w:rsid w:val="009D7D5D"/>
    <w:rsid w:val="00A01E84"/>
    <w:rsid w:val="00A11BFD"/>
    <w:rsid w:val="00A12BDE"/>
    <w:rsid w:val="00A17B2D"/>
    <w:rsid w:val="00A22F7A"/>
    <w:rsid w:val="00A26C84"/>
    <w:rsid w:val="00A42D82"/>
    <w:rsid w:val="00A52FB2"/>
    <w:rsid w:val="00A5468C"/>
    <w:rsid w:val="00A606D0"/>
    <w:rsid w:val="00A7173B"/>
    <w:rsid w:val="00A80F62"/>
    <w:rsid w:val="00A8170B"/>
    <w:rsid w:val="00A846B9"/>
    <w:rsid w:val="00A86D7F"/>
    <w:rsid w:val="00A90D51"/>
    <w:rsid w:val="00A91421"/>
    <w:rsid w:val="00A92CE0"/>
    <w:rsid w:val="00AA1BB2"/>
    <w:rsid w:val="00AB0CE7"/>
    <w:rsid w:val="00AB24E6"/>
    <w:rsid w:val="00AB2B18"/>
    <w:rsid w:val="00AC1B33"/>
    <w:rsid w:val="00AC2050"/>
    <w:rsid w:val="00AD0708"/>
    <w:rsid w:val="00AD3EF7"/>
    <w:rsid w:val="00AE0F72"/>
    <w:rsid w:val="00AE2FBE"/>
    <w:rsid w:val="00AE5FEA"/>
    <w:rsid w:val="00AE619B"/>
    <w:rsid w:val="00AF4BE4"/>
    <w:rsid w:val="00AF7B4A"/>
    <w:rsid w:val="00B0332A"/>
    <w:rsid w:val="00B12618"/>
    <w:rsid w:val="00B22E03"/>
    <w:rsid w:val="00B30C00"/>
    <w:rsid w:val="00B320BA"/>
    <w:rsid w:val="00B35AC1"/>
    <w:rsid w:val="00B36C02"/>
    <w:rsid w:val="00B40C3F"/>
    <w:rsid w:val="00B43047"/>
    <w:rsid w:val="00B45183"/>
    <w:rsid w:val="00B56315"/>
    <w:rsid w:val="00B60E5F"/>
    <w:rsid w:val="00B62078"/>
    <w:rsid w:val="00B63C24"/>
    <w:rsid w:val="00B651B7"/>
    <w:rsid w:val="00B6575B"/>
    <w:rsid w:val="00B702E9"/>
    <w:rsid w:val="00B84631"/>
    <w:rsid w:val="00B86089"/>
    <w:rsid w:val="00B86D8F"/>
    <w:rsid w:val="00B948B3"/>
    <w:rsid w:val="00BA4FCE"/>
    <w:rsid w:val="00BB2AD2"/>
    <w:rsid w:val="00BB3915"/>
    <w:rsid w:val="00BB491E"/>
    <w:rsid w:val="00BB4DDD"/>
    <w:rsid w:val="00BB5C39"/>
    <w:rsid w:val="00BC7B6C"/>
    <w:rsid w:val="00BD0086"/>
    <w:rsid w:val="00BE1A4E"/>
    <w:rsid w:val="00BF4FE9"/>
    <w:rsid w:val="00C022F5"/>
    <w:rsid w:val="00C04D5A"/>
    <w:rsid w:val="00C05457"/>
    <w:rsid w:val="00C119F2"/>
    <w:rsid w:val="00C12FFC"/>
    <w:rsid w:val="00C226C8"/>
    <w:rsid w:val="00C30075"/>
    <w:rsid w:val="00C310C1"/>
    <w:rsid w:val="00C31721"/>
    <w:rsid w:val="00C40756"/>
    <w:rsid w:val="00C433FC"/>
    <w:rsid w:val="00C4524A"/>
    <w:rsid w:val="00C46BDE"/>
    <w:rsid w:val="00C50C42"/>
    <w:rsid w:val="00C6110B"/>
    <w:rsid w:val="00C6585F"/>
    <w:rsid w:val="00C754ED"/>
    <w:rsid w:val="00C84797"/>
    <w:rsid w:val="00C85C83"/>
    <w:rsid w:val="00CA1737"/>
    <w:rsid w:val="00CA1772"/>
    <w:rsid w:val="00CA1F7A"/>
    <w:rsid w:val="00CA228D"/>
    <w:rsid w:val="00CA3226"/>
    <w:rsid w:val="00CA3DA9"/>
    <w:rsid w:val="00CA56CD"/>
    <w:rsid w:val="00CA7EE5"/>
    <w:rsid w:val="00CA7F58"/>
    <w:rsid w:val="00CB162E"/>
    <w:rsid w:val="00CB4A1E"/>
    <w:rsid w:val="00CC1A96"/>
    <w:rsid w:val="00CC5DD7"/>
    <w:rsid w:val="00CD29A3"/>
    <w:rsid w:val="00CD56D7"/>
    <w:rsid w:val="00CE0F13"/>
    <w:rsid w:val="00CE191C"/>
    <w:rsid w:val="00CE5D46"/>
    <w:rsid w:val="00CE705C"/>
    <w:rsid w:val="00CE72DC"/>
    <w:rsid w:val="00CF41C9"/>
    <w:rsid w:val="00CF41CB"/>
    <w:rsid w:val="00CF586B"/>
    <w:rsid w:val="00D04694"/>
    <w:rsid w:val="00D16849"/>
    <w:rsid w:val="00D17C07"/>
    <w:rsid w:val="00D20886"/>
    <w:rsid w:val="00D24EFE"/>
    <w:rsid w:val="00D66B0E"/>
    <w:rsid w:val="00D67046"/>
    <w:rsid w:val="00D6737B"/>
    <w:rsid w:val="00D77693"/>
    <w:rsid w:val="00D8291A"/>
    <w:rsid w:val="00D932CE"/>
    <w:rsid w:val="00D95631"/>
    <w:rsid w:val="00D9711D"/>
    <w:rsid w:val="00DA1769"/>
    <w:rsid w:val="00DA45A3"/>
    <w:rsid w:val="00DB0D22"/>
    <w:rsid w:val="00DB1DB8"/>
    <w:rsid w:val="00DB5B15"/>
    <w:rsid w:val="00DE0BAD"/>
    <w:rsid w:val="00DE1F54"/>
    <w:rsid w:val="00DE403D"/>
    <w:rsid w:val="00DE4763"/>
    <w:rsid w:val="00DE69EF"/>
    <w:rsid w:val="00DF378B"/>
    <w:rsid w:val="00DF3E1B"/>
    <w:rsid w:val="00DF55F1"/>
    <w:rsid w:val="00DF7532"/>
    <w:rsid w:val="00E01877"/>
    <w:rsid w:val="00E138B4"/>
    <w:rsid w:val="00E16790"/>
    <w:rsid w:val="00E209A0"/>
    <w:rsid w:val="00E21AF6"/>
    <w:rsid w:val="00E22B1C"/>
    <w:rsid w:val="00E352DB"/>
    <w:rsid w:val="00E37342"/>
    <w:rsid w:val="00E45250"/>
    <w:rsid w:val="00E570B2"/>
    <w:rsid w:val="00E6304B"/>
    <w:rsid w:val="00E67248"/>
    <w:rsid w:val="00E67987"/>
    <w:rsid w:val="00E713FD"/>
    <w:rsid w:val="00E73A97"/>
    <w:rsid w:val="00E772E1"/>
    <w:rsid w:val="00E82CA6"/>
    <w:rsid w:val="00E842FA"/>
    <w:rsid w:val="00E85E7A"/>
    <w:rsid w:val="00E90F13"/>
    <w:rsid w:val="00E94B57"/>
    <w:rsid w:val="00EA3832"/>
    <w:rsid w:val="00EB2E5A"/>
    <w:rsid w:val="00EB3D2E"/>
    <w:rsid w:val="00EB78B3"/>
    <w:rsid w:val="00EC17C7"/>
    <w:rsid w:val="00ED6387"/>
    <w:rsid w:val="00EE437C"/>
    <w:rsid w:val="00EE7C73"/>
    <w:rsid w:val="00EE7D28"/>
    <w:rsid w:val="00EF328F"/>
    <w:rsid w:val="00F00325"/>
    <w:rsid w:val="00F01DCE"/>
    <w:rsid w:val="00F05D08"/>
    <w:rsid w:val="00F2372F"/>
    <w:rsid w:val="00F334F2"/>
    <w:rsid w:val="00F351C1"/>
    <w:rsid w:val="00F36620"/>
    <w:rsid w:val="00F37DEA"/>
    <w:rsid w:val="00F405F3"/>
    <w:rsid w:val="00F41243"/>
    <w:rsid w:val="00F415BD"/>
    <w:rsid w:val="00F55A9D"/>
    <w:rsid w:val="00F573FD"/>
    <w:rsid w:val="00F60537"/>
    <w:rsid w:val="00F70C6B"/>
    <w:rsid w:val="00F81A2A"/>
    <w:rsid w:val="00F92D4A"/>
    <w:rsid w:val="00FA533D"/>
    <w:rsid w:val="00FA6722"/>
    <w:rsid w:val="00FA6A33"/>
    <w:rsid w:val="00FC3EE7"/>
    <w:rsid w:val="00FE0183"/>
    <w:rsid w:val="00FE2459"/>
    <w:rsid w:val="00FE4A05"/>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BFA02-40D9-4A2A-A701-B6EED62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DD"/>
    <w:pPr>
      <w:widowControl w:val="0"/>
      <w:jc w:val="both"/>
    </w:pPr>
    <w:rPr>
      <w:sz w:val="28"/>
      <w:szCs w:val="24"/>
    </w:rPr>
  </w:style>
  <w:style w:type="paragraph" w:styleId="Heading1">
    <w:name w:val="heading 1"/>
    <w:basedOn w:val="Normal"/>
    <w:next w:val="Normal"/>
    <w:qFormat/>
    <w:rsid w:val="001716E2"/>
    <w:pPr>
      <w:spacing w:before="360" w:line="264" w:lineRule="auto"/>
      <w:jc w:val="center"/>
      <w:outlineLvl w:val="0"/>
    </w:pPr>
    <w:rPr>
      <w:rFonts w:ascii="Times New Roman Bold" w:hAnsi="Times New Roman Bold"/>
      <w:b/>
      <w:szCs w:val="20"/>
    </w:rPr>
  </w:style>
  <w:style w:type="paragraph" w:styleId="Heading2">
    <w:name w:val="heading 2"/>
    <w:basedOn w:val="Normal"/>
    <w:next w:val="Normal"/>
    <w:link w:val="Heading2Char"/>
    <w:qFormat/>
    <w:rsid w:val="00EC17C7"/>
    <w:pPr>
      <w:spacing w:before="240" w:line="264" w:lineRule="auto"/>
      <w:ind w:firstLine="720"/>
      <w:outlineLvl w:val="1"/>
    </w:pPr>
    <w:rPr>
      <w:rFonts w:ascii="Times New Roman Bold" w:hAnsi="Times New Roman Bold"/>
      <w:b/>
      <w:szCs w:val="20"/>
    </w:rPr>
  </w:style>
  <w:style w:type="paragraph" w:styleId="Heading3">
    <w:name w:val="heading 3"/>
    <w:basedOn w:val="Normal"/>
    <w:next w:val="Normal"/>
    <w:qFormat/>
    <w:rsid w:val="00943C66"/>
    <w:pPr>
      <w:spacing w:before="120" w:line="252" w:lineRule="auto"/>
      <w:ind w:firstLine="720"/>
      <w:outlineLvl w:val="2"/>
    </w:pPr>
    <w:rPr>
      <w:rFonts w:ascii="Times New Roman Bold" w:hAnsi="Times New Roman Bold" w:cs="Arial"/>
      <w:b/>
      <w:bCs/>
      <w:sz w:val="26"/>
      <w:szCs w:val="26"/>
    </w:rPr>
  </w:style>
  <w:style w:type="paragraph" w:styleId="Heading4">
    <w:name w:val="heading 4"/>
    <w:basedOn w:val="Normal"/>
    <w:next w:val="Normal"/>
    <w:qFormat/>
    <w:rsid w:val="00412D99"/>
    <w:pPr>
      <w:keepNext/>
      <w:ind w:right="-858"/>
      <w:jc w:val="center"/>
      <w:outlineLvl w:val="3"/>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EC17C7"/>
    <w:rPr>
      <w:rFonts w:ascii="Times New Roman Bold" w:hAnsi="Times New Roman Bold"/>
      <w:b/>
      <w:sz w:val="28"/>
      <w:lang w:val="en-US" w:eastAsia="en-US" w:bidi="ar-SA"/>
    </w:rPr>
  </w:style>
  <w:style w:type="paragraph" w:styleId="Footer">
    <w:name w:val="footer"/>
    <w:basedOn w:val="Normal"/>
    <w:rsid w:val="00E138B4"/>
    <w:pPr>
      <w:tabs>
        <w:tab w:val="center" w:pos="4320"/>
        <w:tab w:val="right" w:pos="8640"/>
      </w:tabs>
    </w:pPr>
    <w:rPr>
      <w:sz w:val="24"/>
    </w:rPr>
  </w:style>
  <w:style w:type="character" w:styleId="PageNumber">
    <w:name w:val="page number"/>
    <w:basedOn w:val="DefaultParagraphFont"/>
    <w:rsid w:val="00943C66"/>
    <w:rPr>
      <w:sz w:val="24"/>
    </w:rPr>
  </w:style>
  <w:style w:type="paragraph" w:styleId="BalloonText">
    <w:name w:val="Balloon Text"/>
    <w:basedOn w:val="Normal"/>
    <w:semiHidden/>
    <w:rsid w:val="00995C0F"/>
    <w:rPr>
      <w:rFonts w:ascii="Tahoma" w:hAnsi="Tahoma" w:cs="Tahoma"/>
      <w:sz w:val="16"/>
      <w:szCs w:val="16"/>
    </w:rPr>
  </w:style>
  <w:style w:type="character" w:styleId="Hyperlink">
    <w:name w:val="Hyperlink"/>
    <w:basedOn w:val="DefaultParagraphFont"/>
    <w:rsid w:val="00CA1F7A"/>
    <w:rPr>
      <w:color w:val="0000FF"/>
      <w:u w:val="single"/>
    </w:rPr>
  </w:style>
  <w:style w:type="character" w:styleId="CommentReference">
    <w:name w:val="annotation reference"/>
    <w:basedOn w:val="DefaultParagraphFont"/>
    <w:semiHidden/>
    <w:rsid w:val="00CA3DA9"/>
    <w:rPr>
      <w:sz w:val="16"/>
      <w:szCs w:val="16"/>
    </w:rPr>
  </w:style>
  <w:style w:type="paragraph" w:styleId="CommentText">
    <w:name w:val="annotation text"/>
    <w:basedOn w:val="Normal"/>
    <w:semiHidden/>
    <w:rsid w:val="00CA3DA9"/>
    <w:rPr>
      <w:sz w:val="20"/>
      <w:szCs w:val="20"/>
    </w:rPr>
  </w:style>
  <w:style w:type="paragraph" w:styleId="CommentSubject">
    <w:name w:val="annotation subject"/>
    <w:basedOn w:val="CommentText"/>
    <w:next w:val="CommentText"/>
    <w:semiHidden/>
    <w:rsid w:val="00CA3DA9"/>
    <w:rPr>
      <w:b/>
      <w:bCs/>
    </w:rPr>
  </w:style>
  <w:style w:type="paragraph" w:styleId="Header">
    <w:name w:val="header"/>
    <w:basedOn w:val="Normal"/>
    <w:rsid w:val="00943C66"/>
    <w:pPr>
      <w:tabs>
        <w:tab w:val="center" w:pos="4320"/>
        <w:tab w:val="right" w:pos="8640"/>
      </w:tabs>
    </w:pPr>
    <w:rPr>
      <w:sz w:val="24"/>
    </w:rPr>
  </w:style>
  <w:style w:type="paragraph" w:customStyle="1" w:styleId="Center1">
    <w:name w:val="Center1"/>
    <w:basedOn w:val="Normal"/>
    <w:rsid w:val="00BB4DDD"/>
    <w:pPr>
      <w:jc w:val="center"/>
    </w:pPr>
    <w:rPr>
      <w:rFonts w:ascii="Times New Roman Bold" w:hAnsi="Times New Roman Bold"/>
      <w:b/>
      <w:sz w:val="26"/>
      <w:szCs w:val="20"/>
    </w:rPr>
  </w:style>
  <w:style w:type="paragraph" w:customStyle="1" w:styleId="Center2">
    <w:name w:val="Center2"/>
    <w:basedOn w:val="Normal"/>
    <w:rsid w:val="00BB4DDD"/>
    <w:pPr>
      <w:jc w:val="center"/>
    </w:pPr>
    <w:rPr>
      <w:sz w:val="26"/>
      <w:szCs w:val="20"/>
    </w:rPr>
  </w:style>
  <w:style w:type="paragraph" w:customStyle="1" w:styleId="Center3">
    <w:name w:val="Center3"/>
    <w:basedOn w:val="Normal"/>
    <w:rsid w:val="00BB4DDD"/>
    <w:pPr>
      <w:jc w:val="center"/>
    </w:pPr>
    <w:rPr>
      <w:sz w:val="24"/>
      <w:szCs w:val="20"/>
    </w:rPr>
  </w:style>
  <w:style w:type="paragraph" w:customStyle="1" w:styleId="Center4">
    <w:name w:val="Center4"/>
    <w:basedOn w:val="Normal"/>
    <w:rsid w:val="00BB4DDD"/>
    <w:pPr>
      <w:jc w:val="center"/>
    </w:pPr>
    <w:rPr>
      <w:rFonts w:ascii="Times New Roman Bold" w:hAnsi="Times New Roman Bold"/>
      <w:b/>
      <w:szCs w:val="20"/>
    </w:rPr>
  </w:style>
  <w:style w:type="paragraph" w:customStyle="1" w:styleId="Para">
    <w:name w:val="Para"/>
    <w:basedOn w:val="Normal"/>
    <w:link w:val="ParaChar"/>
    <w:rsid w:val="00EC17C7"/>
    <w:pPr>
      <w:spacing w:before="120" w:line="247" w:lineRule="auto"/>
      <w:ind w:firstLine="720"/>
    </w:pPr>
  </w:style>
  <w:style w:type="character" w:customStyle="1" w:styleId="ParaChar">
    <w:name w:val="Para Char"/>
    <w:basedOn w:val="DefaultParagraphFont"/>
    <w:link w:val="Para"/>
    <w:rsid w:val="00EC17C7"/>
    <w:rPr>
      <w:sz w:val="28"/>
      <w:szCs w:val="24"/>
      <w:lang w:val="en-US" w:eastAsia="en-US" w:bidi="ar-SA"/>
    </w:rPr>
  </w:style>
  <w:style w:type="paragraph" w:customStyle="1" w:styleId="Hoainormal">
    <w:name w:val="Hoai_normal"/>
    <w:basedOn w:val="Normal"/>
    <w:rsid w:val="00344469"/>
    <w:pPr>
      <w:widowControl/>
      <w:spacing w:before="120" w:after="120"/>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04113">
      <w:bodyDiv w:val="1"/>
      <w:marLeft w:val="0"/>
      <w:marRight w:val="0"/>
      <w:marTop w:val="0"/>
      <w:marBottom w:val="0"/>
      <w:divBdr>
        <w:top w:val="none" w:sz="0" w:space="0" w:color="auto"/>
        <w:left w:val="none" w:sz="0" w:space="0" w:color="auto"/>
        <w:bottom w:val="none" w:sz="0" w:space="0" w:color="auto"/>
        <w:right w:val="none" w:sz="0" w:space="0" w:color="auto"/>
      </w:divBdr>
    </w:div>
    <w:div w:id="1410347431">
      <w:bodyDiv w:val="1"/>
      <w:marLeft w:val="0"/>
      <w:marRight w:val="0"/>
      <w:marTop w:val="0"/>
      <w:marBottom w:val="0"/>
      <w:divBdr>
        <w:top w:val="none" w:sz="0" w:space="0" w:color="auto"/>
        <w:left w:val="none" w:sz="0" w:space="0" w:color="auto"/>
        <w:bottom w:val="none" w:sz="0" w:space="0" w:color="auto"/>
        <w:right w:val="none" w:sz="0" w:space="0" w:color="auto"/>
      </w:divBdr>
    </w:div>
    <w:div w:id="20562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TQD</dc:creator>
  <cp:keywords/>
  <dc:description/>
  <cp:lastModifiedBy>Truong Cong Nguyen Thanh</cp:lastModifiedBy>
  <cp:revision>4</cp:revision>
  <cp:lastPrinted>2011-09-06T08:39:00Z</cp:lastPrinted>
  <dcterms:created xsi:type="dcterms:W3CDTF">2021-04-20T07:58:00Z</dcterms:created>
  <dcterms:modified xsi:type="dcterms:W3CDTF">2021-04-20T07:58:00Z</dcterms:modified>
</cp:coreProperties>
</file>