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82"/>
        <w:gridCol w:w="6259"/>
      </w:tblGrid>
      <w:tr w:rsidR="001F2DA8" w:rsidRPr="00A72E09">
        <w:tc>
          <w:tcPr>
            <w:tcW w:w="3474" w:type="dxa"/>
          </w:tcPr>
          <w:p w:rsidR="001F2DA8" w:rsidRPr="00A72E09" w:rsidRDefault="001F2DA8">
            <w:pPr>
              <w:pStyle w:val="Heading1"/>
              <w:jc w:val="center"/>
              <w:rPr>
                <w:b/>
                <w:bCs/>
                <w:sz w:val="26"/>
                <w:szCs w:val="26"/>
              </w:rPr>
            </w:pPr>
            <w:bookmarkStart w:id="0" w:name="_GoBack"/>
            <w:bookmarkEnd w:id="0"/>
            <w:r w:rsidRPr="00A72E09">
              <w:rPr>
                <w:b/>
                <w:bCs/>
                <w:sz w:val="26"/>
                <w:szCs w:val="26"/>
              </w:rPr>
              <w:t>HỘI ĐỒNG NHÂN DÂN</w:t>
            </w:r>
          </w:p>
          <w:p w:rsidR="001F2DA8" w:rsidRPr="00A72E09" w:rsidRDefault="001F2DA8">
            <w:pPr>
              <w:pStyle w:val="Heading1"/>
              <w:jc w:val="center"/>
              <w:rPr>
                <w:b/>
                <w:bCs/>
              </w:rPr>
            </w:pPr>
            <w:r w:rsidRPr="00A72E09">
              <w:rPr>
                <w:b/>
                <w:sz w:val="26"/>
                <w:szCs w:val="26"/>
              </w:rPr>
              <w:t>THÀNH PHỐ ĐÀ NẴNG</w:t>
            </w:r>
          </w:p>
        </w:tc>
        <w:tc>
          <w:tcPr>
            <w:tcW w:w="6545" w:type="dxa"/>
          </w:tcPr>
          <w:p w:rsidR="001F2DA8" w:rsidRPr="00A72E09" w:rsidRDefault="001F2DA8">
            <w:pPr>
              <w:pStyle w:val="Heading1"/>
              <w:jc w:val="center"/>
              <w:rPr>
                <w:b/>
                <w:bCs/>
                <w:sz w:val="26"/>
              </w:rPr>
            </w:pPr>
            <w:r w:rsidRPr="00A72E09">
              <w:rPr>
                <w:b/>
                <w:bCs/>
                <w:sz w:val="26"/>
              </w:rPr>
              <w:t xml:space="preserve">CỘNG HÒA XÃ HỘI CHỦ NGHĨA VIỆT </w:t>
            </w:r>
            <w:smartTag w:uri="urn:schemas-microsoft-com:office:smarttags" w:element="place">
              <w:smartTag w:uri="urn:schemas-microsoft-com:office:smarttags" w:element="country-region">
                <w:r w:rsidRPr="00A72E09">
                  <w:rPr>
                    <w:b/>
                    <w:bCs/>
                    <w:sz w:val="26"/>
                  </w:rPr>
                  <w:t>NAM</w:t>
                </w:r>
              </w:smartTag>
            </w:smartTag>
          </w:p>
          <w:p w:rsidR="001F2DA8" w:rsidRPr="008E7AD5" w:rsidRDefault="001F2DA8">
            <w:pPr>
              <w:jc w:val="center"/>
              <w:rPr>
                <w:b/>
                <w:sz w:val="28"/>
                <w:szCs w:val="28"/>
              </w:rPr>
            </w:pPr>
            <w:r w:rsidRPr="008E7AD5">
              <w:rPr>
                <w:b/>
                <w:sz w:val="28"/>
                <w:szCs w:val="28"/>
              </w:rPr>
              <w:t>Độc lập - Tự do - Hạnh phúc</w:t>
            </w:r>
          </w:p>
        </w:tc>
      </w:tr>
      <w:tr w:rsidR="001F2DA8" w:rsidRPr="00A72E09">
        <w:tc>
          <w:tcPr>
            <w:tcW w:w="3474" w:type="dxa"/>
          </w:tcPr>
          <w:p w:rsidR="001F2DA8" w:rsidRPr="00A72E09" w:rsidRDefault="0011635A">
            <w:pPr>
              <w:pStyle w:val="Heading1"/>
              <w:rPr>
                <w:b/>
                <w:bCs/>
              </w:rPr>
            </w:pPr>
            <w:r w:rsidRPr="00A72E09">
              <w:rPr>
                <w:b/>
                <w:bCs/>
                <w:noProof/>
              </w:rPr>
              <mc:AlternateContent>
                <mc:Choice Requires="wps">
                  <w:drawing>
                    <wp:anchor distT="0" distB="0" distL="114300" distR="114300" simplePos="0" relativeHeight="251658752" behindDoc="0" locked="0" layoutInCell="1" allowOverlap="1">
                      <wp:simplePos x="0" y="0"/>
                      <wp:positionH relativeFrom="column">
                        <wp:posOffset>593725</wp:posOffset>
                      </wp:positionH>
                      <wp:positionV relativeFrom="paragraph">
                        <wp:posOffset>96520</wp:posOffset>
                      </wp:positionV>
                      <wp:extent cx="712470" cy="0"/>
                      <wp:effectExtent l="8890" t="7620" r="12065" b="1143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FD5D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7.6pt" to="102.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t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"/>
                  </w:pict>
                </mc:Fallback>
              </mc:AlternateContent>
            </w:r>
          </w:p>
        </w:tc>
        <w:tc>
          <w:tcPr>
            <w:tcW w:w="6545" w:type="dxa"/>
          </w:tcPr>
          <w:p w:rsidR="001F2DA8" w:rsidRPr="00A72E09" w:rsidRDefault="0011635A">
            <w:pPr>
              <w:pStyle w:val="Heading1"/>
              <w:rPr>
                <w:b/>
                <w:bCs/>
              </w:rPr>
            </w:pPr>
            <w:r w:rsidRPr="00A72E09">
              <w:rPr>
                <w:b/>
                <w:bCs/>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96520</wp:posOffset>
                      </wp:positionV>
                      <wp:extent cx="2018665" cy="0"/>
                      <wp:effectExtent l="5080" t="7620" r="5080" b="1143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32C07"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7.6pt" to="23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P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C63pjSsgolI7G4qjZ/Vitpp+d0jpqiXqwCPF14uBvCxkJG9SwsYZuGDff9EMYsjR69in&#10;c2O7AAkdQOcox+UuBz97ROEQOjKfzaYY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"/>
                  </w:pict>
                </mc:Fallback>
              </mc:AlternateContent>
            </w:r>
          </w:p>
        </w:tc>
      </w:tr>
      <w:tr w:rsidR="001F2DA8" w:rsidRPr="00A72E09">
        <w:tc>
          <w:tcPr>
            <w:tcW w:w="3474" w:type="dxa"/>
          </w:tcPr>
          <w:p w:rsidR="001F2DA8" w:rsidRPr="008E7AD5" w:rsidRDefault="001F2DA8" w:rsidP="006C76E4">
            <w:pPr>
              <w:pStyle w:val="Heading1"/>
              <w:jc w:val="center"/>
              <w:rPr>
                <w:b/>
                <w:bCs/>
                <w:szCs w:val="28"/>
              </w:rPr>
            </w:pPr>
            <w:r w:rsidRPr="008E7AD5">
              <w:rPr>
                <w:szCs w:val="28"/>
              </w:rPr>
              <w:t xml:space="preserve">Số: </w:t>
            </w:r>
            <w:r w:rsidR="006C76E4" w:rsidRPr="008E7AD5">
              <w:rPr>
                <w:szCs w:val="28"/>
              </w:rPr>
              <w:t>28</w:t>
            </w:r>
            <w:r w:rsidRPr="008E7AD5">
              <w:rPr>
                <w:szCs w:val="28"/>
              </w:rPr>
              <w:t>/2012/NQ-HĐND</w:t>
            </w:r>
          </w:p>
        </w:tc>
        <w:tc>
          <w:tcPr>
            <w:tcW w:w="6545" w:type="dxa"/>
          </w:tcPr>
          <w:p w:rsidR="001F2DA8" w:rsidRPr="00A72E09" w:rsidRDefault="001F2DA8" w:rsidP="006C76E4">
            <w:pPr>
              <w:jc w:val="center"/>
              <w:rPr>
                <w:i/>
                <w:iCs/>
                <w:sz w:val="28"/>
                <w:szCs w:val="28"/>
              </w:rPr>
            </w:pPr>
            <w:r w:rsidRPr="00A72E09">
              <w:rPr>
                <w:i/>
                <w:sz w:val="28"/>
                <w:szCs w:val="28"/>
              </w:rPr>
              <w:t xml:space="preserve">Đà Nẵng, ngày </w:t>
            </w:r>
            <w:r w:rsidR="006C76E4">
              <w:rPr>
                <w:i/>
                <w:sz w:val="28"/>
                <w:szCs w:val="28"/>
              </w:rPr>
              <w:t>05</w:t>
            </w:r>
            <w:r w:rsidRPr="00A72E09">
              <w:rPr>
                <w:i/>
                <w:sz w:val="28"/>
                <w:szCs w:val="28"/>
              </w:rPr>
              <w:t xml:space="preserve"> tháng </w:t>
            </w:r>
            <w:r w:rsidR="00C640C8">
              <w:rPr>
                <w:i/>
                <w:sz w:val="28"/>
                <w:szCs w:val="28"/>
              </w:rPr>
              <w:t>12</w:t>
            </w:r>
            <w:r>
              <w:rPr>
                <w:i/>
                <w:sz w:val="28"/>
                <w:szCs w:val="28"/>
              </w:rPr>
              <w:t xml:space="preserve">  </w:t>
            </w:r>
            <w:r w:rsidRPr="00A72E09">
              <w:rPr>
                <w:i/>
                <w:sz w:val="28"/>
                <w:szCs w:val="28"/>
              </w:rPr>
              <w:t>năm 201</w:t>
            </w:r>
            <w:r>
              <w:rPr>
                <w:i/>
                <w:sz w:val="28"/>
                <w:szCs w:val="28"/>
              </w:rPr>
              <w:t>2</w:t>
            </w:r>
          </w:p>
        </w:tc>
      </w:tr>
    </w:tbl>
    <w:p w:rsidR="001F2DA8" w:rsidRDefault="001F2DA8">
      <w:pPr>
        <w:pStyle w:val="Heading1"/>
        <w:rPr>
          <w:b/>
          <w:bCs/>
          <w:sz w:val="24"/>
        </w:rPr>
      </w:pPr>
    </w:p>
    <w:p w:rsidR="001F2DA8" w:rsidRPr="007E6C96" w:rsidRDefault="001F2DA8">
      <w:pPr>
        <w:pStyle w:val="Heading1"/>
        <w:rPr>
          <w:b/>
          <w:bCs/>
          <w:sz w:val="24"/>
        </w:rPr>
      </w:pPr>
    </w:p>
    <w:p w:rsidR="001F2DA8" w:rsidRDefault="001F2DA8">
      <w:pPr>
        <w:pStyle w:val="Heading3"/>
        <w:spacing w:before="120"/>
        <w:rPr>
          <w:b/>
          <w:bCs/>
          <w:sz w:val="30"/>
        </w:rPr>
      </w:pPr>
      <w:r>
        <w:rPr>
          <w:b/>
          <w:bCs/>
          <w:sz w:val="30"/>
        </w:rPr>
        <w:t>NGHỊ QUYẾT</w:t>
      </w:r>
    </w:p>
    <w:p w:rsidR="001F2DA8" w:rsidRDefault="001F2DA8">
      <w:pPr>
        <w:jc w:val="center"/>
        <w:rPr>
          <w:b/>
          <w:sz w:val="28"/>
          <w:szCs w:val="28"/>
        </w:rPr>
      </w:pPr>
      <w:r>
        <w:rPr>
          <w:b/>
          <w:sz w:val="28"/>
          <w:szCs w:val="28"/>
        </w:rPr>
        <w:t>Về phát hành trái phiếu chính quyền địa phương</w:t>
      </w:r>
    </w:p>
    <w:p w:rsidR="001F2DA8" w:rsidRDefault="0011635A">
      <w:pPr>
        <w:rPr>
          <w:sz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2474595</wp:posOffset>
                </wp:positionH>
                <wp:positionV relativeFrom="paragraph">
                  <wp:posOffset>75565</wp:posOffset>
                </wp:positionV>
                <wp:extent cx="1206500" cy="0"/>
                <wp:effectExtent l="13335" t="7620" r="8890" b="1143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31961"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5.95pt" to="289.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hs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"/>
            </w:pict>
          </mc:Fallback>
        </mc:AlternateContent>
      </w:r>
    </w:p>
    <w:p w:rsidR="001F2DA8" w:rsidRPr="006D6AC6" w:rsidRDefault="001F2DA8">
      <w:pPr>
        <w:pStyle w:val="Heading3"/>
        <w:rPr>
          <w:b/>
          <w:bCs/>
        </w:rPr>
      </w:pPr>
      <w:r w:rsidRPr="006D6AC6">
        <w:rPr>
          <w:b/>
          <w:bCs/>
        </w:rPr>
        <w:t>HỘI ĐỒNG NHÂN DÂN THÀNH PHỐ ĐÀ NẴNG</w:t>
      </w:r>
    </w:p>
    <w:p w:rsidR="001F2DA8" w:rsidRPr="006667A5" w:rsidRDefault="001F2DA8">
      <w:pPr>
        <w:pStyle w:val="Heading3"/>
        <w:rPr>
          <w:b/>
          <w:szCs w:val="28"/>
        </w:rPr>
      </w:pPr>
      <w:r w:rsidRPr="006D6AC6">
        <w:rPr>
          <w:b/>
        </w:rPr>
        <w:t xml:space="preserve"> </w:t>
      </w:r>
      <w:r w:rsidRPr="006667A5">
        <w:rPr>
          <w:b/>
          <w:szCs w:val="28"/>
        </w:rPr>
        <w:t>KHÓA VI</w:t>
      </w:r>
      <w:r w:rsidR="00C640C8">
        <w:rPr>
          <w:b/>
          <w:szCs w:val="28"/>
        </w:rPr>
        <w:t>I</w:t>
      </w:r>
      <w:r w:rsidRPr="006667A5">
        <w:rPr>
          <w:b/>
          <w:szCs w:val="28"/>
        </w:rPr>
        <w:t>I, NHIỆM KỲ 20</w:t>
      </w:r>
      <w:r>
        <w:rPr>
          <w:b/>
          <w:szCs w:val="28"/>
        </w:rPr>
        <w:t>11</w:t>
      </w:r>
      <w:r w:rsidRPr="006667A5">
        <w:rPr>
          <w:b/>
          <w:szCs w:val="28"/>
        </w:rPr>
        <w:t>-20</w:t>
      </w:r>
      <w:r>
        <w:rPr>
          <w:b/>
          <w:szCs w:val="28"/>
        </w:rPr>
        <w:t>16</w:t>
      </w:r>
      <w:r w:rsidRPr="006667A5">
        <w:rPr>
          <w:b/>
          <w:szCs w:val="28"/>
        </w:rPr>
        <w:t xml:space="preserve">, KỲ HỌP THỨ </w:t>
      </w:r>
      <w:r>
        <w:rPr>
          <w:b/>
          <w:szCs w:val="28"/>
        </w:rPr>
        <w:t>5</w:t>
      </w:r>
    </w:p>
    <w:p w:rsidR="001F2DA8" w:rsidRPr="006D6AC6" w:rsidRDefault="001F2DA8">
      <w:pPr>
        <w:rPr>
          <w:b/>
          <w:sz w:val="28"/>
        </w:rPr>
      </w:pPr>
    </w:p>
    <w:p w:rsidR="001F2DA8" w:rsidRDefault="001F2DA8" w:rsidP="001E2C5D">
      <w:pPr>
        <w:pStyle w:val="BodyText"/>
        <w:spacing w:before="120" w:after="120"/>
        <w:rPr>
          <w:szCs w:val="28"/>
        </w:rPr>
      </w:pPr>
      <w:r>
        <w:tab/>
      </w:r>
      <w:r>
        <w:rPr>
          <w:szCs w:val="28"/>
        </w:rPr>
        <w:t>Căn cứ Luật Tổ chức Hội đồng nhân dân và Ủy ban nhân dân ngày 26 tháng 11 năm 2003;</w:t>
      </w:r>
    </w:p>
    <w:p w:rsidR="001F2DA8" w:rsidRDefault="001F2DA8">
      <w:pPr>
        <w:widowControl w:val="0"/>
        <w:spacing w:after="100"/>
        <w:ind w:firstLine="720"/>
        <w:jc w:val="both"/>
        <w:rPr>
          <w:snapToGrid w:val="0"/>
          <w:sz w:val="28"/>
          <w:szCs w:val="28"/>
          <w:lang w:val="pt-BR"/>
        </w:rPr>
      </w:pPr>
      <w:r>
        <w:rPr>
          <w:snapToGrid w:val="0"/>
          <w:sz w:val="28"/>
          <w:szCs w:val="28"/>
          <w:lang w:val="pt-BR"/>
        </w:rPr>
        <w:t xml:space="preserve">Căn cứ Luật </w:t>
      </w:r>
      <w:r w:rsidR="002227A7">
        <w:rPr>
          <w:snapToGrid w:val="0"/>
          <w:sz w:val="28"/>
          <w:szCs w:val="28"/>
          <w:lang w:val="pt-BR"/>
        </w:rPr>
        <w:t>N</w:t>
      </w:r>
      <w:r>
        <w:rPr>
          <w:snapToGrid w:val="0"/>
          <w:sz w:val="28"/>
          <w:szCs w:val="28"/>
          <w:lang w:val="pt-BR"/>
        </w:rPr>
        <w:t>gân sách Nhà nước ngày 16 tháng 12 năm 2002;</w:t>
      </w:r>
    </w:p>
    <w:p w:rsidR="001F2DA8" w:rsidRDefault="001F2DA8">
      <w:pPr>
        <w:widowControl w:val="0"/>
        <w:spacing w:after="100"/>
        <w:ind w:firstLine="720"/>
        <w:jc w:val="both"/>
        <w:rPr>
          <w:snapToGrid w:val="0"/>
          <w:color w:val="000000"/>
          <w:sz w:val="28"/>
          <w:szCs w:val="28"/>
          <w:lang w:val="pt-BR"/>
        </w:rPr>
      </w:pPr>
      <w:r>
        <w:rPr>
          <w:snapToGrid w:val="0"/>
          <w:color w:val="000000"/>
          <w:sz w:val="28"/>
          <w:szCs w:val="28"/>
          <w:lang w:val="pt-BR"/>
        </w:rPr>
        <w:t xml:space="preserve">Căn cứ Luật </w:t>
      </w:r>
      <w:r w:rsidR="002227A7">
        <w:rPr>
          <w:snapToGrid w:val="0"/>
          <w:color w:val="000000"/>
          <w:sz w:val="28"/>
          <w:szCs w:val="28"/>
          <w:lang w:val="pt-BR"/>
        </w:rPr>
        <w:t>Q</w:t>
      </w:r>
      <w:r>
        <w:rPr>
          <w:snapToGrid w:val="0"/>
          <w:color w:val="000000"/>
          <w:sz w:val="28"/>
          <w:szCs w:val="28"/>
          <w:lang w:val="pt-BR"/>
        </w:rPr>
        <w:t>uản lý nợ công ngày 17 tháng 6 năm 2009; Nghị định số 79/2010/NĐ-CP ngày 14 tháng 7 năm 2010 của Chính phủ về quản lý nợ công;</w:t>
      </w:r>
    </w:p>
    <w:p w:rsidR="001F2DA8" w:rsidRDefault="001F2DA8">
      <w:pPr>
        <w:widowControl w:val="0"/>
        <w:spacing w:after="100"/>
        <w:ind w:firstLine="720"/>
        <w:jc w:val="both"/>
        <w:rPr>
          <w:snapToGrid w:val="0"/>
          <w:sz w:val="28"/>
          <w:szCs w:val="28"/>
          <w:lang w:val="pt-BR"/>
        </w:rPr>
      </w:pPr>
      <w:r>
        <w:rPr>
          <w:snapToGrid w:val="0"/>
          <w:sz w:val="28"/>
          <w:szCs w:val="28"/>
          <w:lang w:val="pt-BR"/>
        </w:rPr>
        <w:t>Căn cứ Nghị định số 01/2011/NĐ-CP ngày 05 tháng 01 năm 2011 của Chính phủ về phát hành trái phiếu Chính phủ, trái phiếu được Chính phủ bảo lãnh và trái phiếu chính quyền địa phương;</w:t>
      </w:r>
    </w:p>
    <w:p w:rsidR="001F2DA8" w:rsidRDefault="001F2DA8">
      <w:pPr>
        <w:widowControl w:val="0"/>
        <w:spacing w:after="100"/>
        <w:jc w:val="both"/>
        <w:rPr>
          <w:snapToGrid w:val="0"/>
          <w:sz w:val="28"/>
          <w:szCs w:val="28"/>
          <w:lang w:val="pt-BR"/>
        </w:rPr>
      </w:pPr>
      <w:r>
        <w:rPr>
          <w:snapToGrid w:val="0"/>
          <w:sz w:val="28"/>
          <w:szCs w:val="28"/>
          <w:lang w:val="pt-BR"/>
        </w:rPr>
        <w:tab/>
        <w:t>Căn cứ Thông tư số 17/2012/TT-BTC ngày 08 tháng 02 năm 2012 của Bộ Tài chính Hướng dẫn về phát hành trái phiếu Chính phủ tại thị trường trong nước;</w:t>
      </w:r>
    </w:p>
    <w:p w:rsidR="001F2DA8" w:rsidRDefault="001F2DA8">
      <w:pPr>
        <w:widowControl w:val="0"/>
        <w:spacing w:after="100"/>
        <w:ind w:firstLine="720"/>
        <w:jc w:val="both"/>
        <w:rPr>
          <w:snapToGrid w:val="0"/>
          <w:sz w:val="28"/>
          <w:szCs w:val="28"/>
          <w:lang w:val="pt-BR"/>
        </w:rPr>
      </w:pPr>
      <w:r>
        <w:rPr>
          <w:snapToGrid w:val="0"/>
          <w:sz w:val="28"/>
          <w:szCs w:val="28"/>
          <w:lang w:val="pt-BR"/>
        </w:rPr>
        <w:t>Căn cứ Thông tư số 81/2012/TT-BTC ngày 22 tháng 5 năm 2012 của Bộ Tài chính Hướng dẫn về phát hành trái phiếu chính quyền địa phương;</w:t>
      </w:r>
    </w:p>
    <w:p w:rsidR="001F2DA8" w:rsidRDefault="001F2DA8">
      <w:pPr>
        <w:spacing w:before="160"/>
        <w:jc w:val="both"/>
        <w:rPr>
          <w:sz w:val="28"/>
          <w:szCs w:val="28"/>
        </w:rPr>
      </w:pPr>
      <w:r>
        <w:rPr>
          <w:sz w:val="28"/>
          <w:szCs w:val="28"/>
        </w:rPr>
        <w:tab/>
      </w:r>
      <w:r>
        <w:rPr>
          <w:color w:val="000000"/>
          <w:sz w:val="28"/>
          <w:szCs w:val="28"/>
        </w:rPr>
        <w:t xml:space="preserve">Trên cơ sở </w:t>
      </w:r>
      <w:r>
        <w:rPr>
          <w:snapToGrid w:val="0"/>
          <w:color w:val="000000"/>
          <w:sz w:val="28"/>
          <w:szCs w:val="28"/>
        </w:rPr>
        <w:t xml:space="preserve">Công văn số 15547/BTC-TCNH ngày 08 tháng 11 năm 2012 của Bộ Tài chính về việc </w:t>
      </w:r>
      <w:r w:rsidR="008361C5">
        <w:rPr>
          <w:snapToGrid w:val="0"/>
          <w:color w:val="000000"/>
          <w:sz w:val="28"/>
          <w:szCs w:val="28"/>
        </w:rPr>
        <w:t>p</w:t>
      </w:r>
      <w:r>
        <w:rPr>
          <w:snapToGrid w:val="0"/>
          <w:color w:val="000000"/>
          <w:sz w:val="28"/>
          <w:szCs w:val="28"/>
        </w:rPr>
        <w:t xml:space="preserve">hê duyệt </w:t>
      </w:r>
      <w:r w:rsidR="004F100D">
        <w:rPr>
          <w:snapToGrid w:val="0"/>
          <w:color w:val="000000"/>
          <w:sz w:val="28"/>
          <w:szCs w:val="28"/>
        </w:rPr>
        <w:t>Đ</w:t>
      </w:r>
      <w:r>
        <w:rPr>
          <w:snapToGrid w:val="0"/>
          <w:color w:val="000000"/>
          <w:sz w:val="28"/>
          <w:szCs w:val="28"/>
        </w:rPr>
        <w:t>ề án phát hành trái phiếu của thành phố Đà Nẵng;</w:t>
      </w:r>
      <w:r w:rsidRPr="004E18E0">
        <w:rPr>
          <w:color w:val="FF00FF"/>
          <w:sz w:val="28"/>
          <w:szCs w:val="28"/>
        </w:rPr>
        <w:t xml:space="preserve"> </w:t>
      </w:r>
      <w:r>
        <w:rPr>
          <w:sz w:val="28"/>
          <w:szCs w:val="28"/>
        </w:rPr>
        <w:t>Sau khi nghe Tờ trình số</w:t>
      </w:r>
      <w:r w:rsidR="00A13A24">
        <w:rPr>
          <w:sz w:val="28"/>
          <w:szCs w:val="28"/>
        </w:rPr>
        <w:t xml:space="preserve"> 9870</w:t>
      </w:r>
      <w:r>
        <w:rPr>
          <w:sz w:val="28"/>
          <w:szCs w:val="28"/>
        </w:rPr>
        <w:t>/TTr-UBND ngày</w:t>
      </w:r>
      <w:r w:rsidR="00A13A24">
        <w:rPr>
          <w:sz w:val="28"/>
          <w:szCs w:val="28"/>
        </w:rPr>
        <w:t xml:space="preserve"> 2</w:t>
      </w:r>
      <w:r w:rsidR="00C640C8">
        <w:rPr>
          <w:sz w:val="28"/>
          <w:szCs w:val="28"/>
        </w:rPr>
        <w:t>2</w:t>
      </w:r>
      <w:r w:rsidR="00A13A24">
        <w:rPr>
          <w:sz w:val="28"/>
          <w:szCs w:val="28"/>
        </w:rPr>
        <w:t xml:space="preserve"> </w:t>
      </w:r>
      <w:r>
        <w:rPr>
          <w:sz w:val="28"/>
          <w:szCs w:val="28"/>
        </w:rPr>
        <w:t xml:space="preserve">tháng </w:t>
      </w:r>
      <w:r w:rsidR="00C640C8">
        <w:rPr>
          <w:sz w:val="28"/>
          <w:szCs w:val="28"/>
        </w:rPr>
        <w:t>11</w:t>
      </w:r>
      <w:r>
        <w:rPr>
          <w:sz w:val="28"/>
          <w:szCs w:val="28"/>
        </w:rPr>
        <w:t xml:space="preserve"> năm 2012 của Ủy ban nhân dân thành phố Đà Nẵng về việc đề nghị </w:t>
      </w:r>
      <w:r w:rsidR="008361C5">
        <w:rPr>
          <w:sz w:val="28"/>
          <w:szCs w:val="28"/>
        </w:rPr>
        <w:t>thông qua</w:t>
      </w:r>
      <w:r>
        <w:rPr>
          <w:sz w:val="28"/>
          <w:szCs w:val="28"/>
        </w:rPr>
        <w:t xml:space="preserve"> Đề án phát hành trái phiếu ch</w:t>
      </w:r>
      <w:r w:rsidR="009D0F6F">
        <w:rPr>
          <w:sz w:val="28"/>
          <w:szCs w:val="28"/>
        </w:rPr>
        <w:t>í</w:t>
      </w:r>
      <w:r>
        <w:rPr>
          <w:sz w:val="28"/>
          <w:szCs w:val="28"/>
        </w:rPr>
        <w:t>nh quyền địa phương</w:t>
      </w:r>
      <w:r w:rsidR="008361C5">
        <w:rPr>
          <w:sz w:val="28"/>
          <w:szCs w:val="28"/>
        </w:rPr>
        <w:t xml:space="preserve">, Báo cáo thẩm tra của Ban Kinh tế - Ngân sách </w:t>
      </w:r>
      <w:r>
        <w:rPr>
          <w:sz w:val="28"/>
          <w:szCs w:val="28"/>
        </w:rPr>
        <w:t xml:space="preserve">và ý kiến của các đại biểu Hội đồng nhân dân thành phố Đà Nẵng, </w:t>
      </w:r>
    </w:p>
    <w:p w:rsidR="001F2DA8" w:rsidRPr="004F100D" w:rsidRDefault="001F2DA8">
      <w:pPr>
        <w:jc w:val="both"/>
        <w:rPr>
          <w:sz w:val="14"/>
          <w:szCs w:val="28"/>
        </w:rPr>
      </w:pPr>
    </w:p>
    <w:p w:rsidR="001F2DA8" w:rsidRDefault="001F2DA8">
      <w:pPr>
        <w:pStyle w:val="Heading3"/>
        <w:rPr>
          <w:b/>
          <w:bCs/>
          <w:szCs w:val="28"/>
        </w:rPr>
      </w:pPr>
      <w:r>
        <w:rPr>
          <w:b/>
          <w:bCs/>
          <w:szCs w:val="28"/>
        </w:rPr>
        <w:t>QUYẾT NGHỊ:</w:t>
      </w:r>
    </w:p>
    <w:p w:rsidR="004F100D" w:rsidRPr="004F100D" w:rsidRDefault="004F100D" w:rsidP="004F100D">
      <w:pPr>
        <w:rPr>
          <w:sz w:val="20"/>
        </w:rPr>
      </w:pPr>
    </w:p>
    <w:p w:rsidR="001F2DA8" w:rsidRDefault="001F2DA8">
      <w:pPr>
        <w:widowControl w:val="0"/>
        <w:spacing w:after="120"/>
        <w:ind w:firstLine="720"/>
        <w:jc w:val="both"/>
        <w:rPr>
          <w:bCs/>
          <w:color w:val="000000"/>
          <w:sz w:val="28"/>
          <w:szCs w:val="28"/>
          <w:lang w:val="pt-BR"/>
        </w:rPr>
      </w:pPr>
      <w:r>
        <w:rPr>
          <w:b/>
          <w:sz w:val="28"/>
          <w:szCs w:val="28"/>
        </w:rPr>
        <w:t xml:space="preserve">Điều 1. </w:t>
      </w:r>
      <w:r>
        <w:rPr>
          <w:sz w:val="28"/>
          <w:szCs w:val="28"/>
        </w:rPr>
        <w:t xml:space="preserve">Thông qua Đề án phát hành trái phiếu chính quyền địa phương </w:t>
      </w:r>
      <w:r>
        <w:rPr>
          <w:snapToGrid w:val="0"/>
          <w:sz w:val="28"/>
          <w:szCs w:val="28"/>
          <w:lang w:val="pt-BR"/>
        </w:rPr>
        <w:t xml:space="preserve">tại thị trường trong nước </w:t>
      </w:r>
      <w:r>
        <w:rPr>
          <w:bCs/>
          <w:color w:val="000000"/>
          <w:sz w:val="28"/>
          <w:szCs w:val="28"/>
          <w:lang w:val="vi-VN"/>
        </w:rPr>
        <w:t xml:space="preserve">nhằm huy động vốn để </w:t>
      </w:r>
      <w:r>
        <w:rPr>
          <w:color w:val="000000"/>
          <w:sz w:val="28"/>
          <w:szCs w:val="28"/>
          <w:lang w:val="vi-VN"/>
        </w:rPr>
        <w:t>đầu tư phát triển kinh tế - xã hội thuộc nhiệm vụ chi của ngân sách thành phố theo quy định của Luật Quản lý nợ công và Luật Ngân sách nhà nước</w:t>
      </w:r>
      <w:r>
        <w:rPr>
          <w:color w:val="000000"/>
          <w:sz w:val="28"/>
          <w:szCs w:val="28"/>
        </w:rPr>
        <w:t xml:space="preserve"> </w:t>
      </w:r>
      <w:r>
        <w:rPr>
          <w:bCs/>
          <w:color w:val="000000"/>
          <w:sz w:val="28"/>
          <w:szCs w:val="28"/>
          <w:lang w:val="pt-BR"/>
        </w:rPr>
        <w:t>với các nội dung chủ yếu sau:</w:t>
      </w:r>
    </w:p>
    <w:p w:rsidR="001F2DA8" w:rsidRDefault="001F2DA8">
      <w:pPr>
        <w:widowControl w:val="0"/>
        <w:spacing w:after="120"/>
        <w:ind w:firstLine="720"/>
        <w:jc w:val="both"/>
        <w:rPr>
          <w:bCs/>
          <w:color w:val="000000"/>
          <w:sz w:val="28"/>
          <w:szCs w:val="28"/>
          <w:lang w:val="pt-BR"/>
        </w:rPr>
      </w:pPr>
      <w:r>
        <w:rPr>
          <w:bCs/>
          <w:color w:val="000000"/>
          <w:sz w:val="28"/>
          <w:szCs w:val="28"/>
          <w:lang w:val="pt-BR"/>
        </w:rPr>
        <w:t>1. Tên tổ chức phát hành: UBND thành phố Đà Nẵng</w:t>
      </w:r>
    </w:p>
    <w:p w:rsidR="001F2DA8" w:rsidRDefault="001F2DA8">
      <w:pPr>
        <w:widowControl w:val="0"/>
        <w:spacing w:after="120"/>
        <w:ind w:firstLine="720"/>
        <w:jc w:val="both"/>
        <w:rPr>
          <w:bCs/>
          <w:color w:val="000000"/>
          <w:sz w:val="28"/>
          <w:szCs w:val="28"/>
          <w:lang w:val="pt-BR"/>
        </w:rPr>
      </w:pPr>
      <w:r>
        <w:rPr>
          <w:bCs/>
          <w:color w:val="000000"/>
          <w:sz w:val="28"/>
          <w:szCs w:val="28"/>
          <w:lang w:val="pt-BR"/>
        </w:rPr>
        <w:t xml:space="preserve">    Tên trái phiếu: Trái phiếu chính quyền địa phương</w:t>
      </w:r>
    </w:p>
    <w:p w:rsidR="001F2DA8" w:rsidRDefault="001F2DA8">
      <w:pPr>
        <w:widowControl w:val="0"/>
        <w:spacing w:after="120"/>
        <w:ind w:firstLine="720"/>
        <w:jc w:val="both"/>
        <w:rPr>
          <w:color w:val="000000"/>
          <w:sz w:val="28"/>
          <w:szCs w:val="28"/>
          <w:lang w:val="pt-BR"/>
        </w:rPr>
      </w:pPr>
      <w:r>
        <w:rPr>
          <w:bCs/>
          <w:color w:val="000000"/>
          <w:sz w:val="28"/>
          <w:szCs w:val="28"/>
          <w:lang w:val="pt-BR"/>
        </w:rPr>
        <w:t xml:space="preserve">2. Khối lượng phát hành: </w:t>
      </w:r>
      <w:r>
        <w:rPr>
          <w:sz w:val="28"/>
          <w:szCs w:val="28"/>
          <w:lang w:val="pt-BR"/>
        </w:rPr>
        <w:t xml:space="preserve">Tổng khối lượng phát hành với giá trị </w:t>
      </w:r>
      <w:r>
        <w:rPr>
          <w:color w:val="000000"/>
          <w:sz w:val="28"/>
          <w:szCs w:val="28"/>
          <w:lang w:val="pt-BR"/>
        </w:rPr>
        <w:t xml:space="preserve">là 5.000 </w:t>
      </w:r>
      <w:r w:rsidR="008361C5" w:rsidRPr="009D0F6F">
        <w:rPr>
          <w:i/>
          <w:color w:val="000000"/>
          <w:sz w:val="28"/>
          <w:szCs w:val="28"/>
          <w:lang w:val="pt-BR"/>
        </w:rPr>
        <w:t>(năm nghìn)</w:t>
      </w:r>
      <w:r w:rsidR="008361C5">
        <w:rPr>
          <w:color w:val="000000"/>
          <w:sz w:val="28"/>
          <w:szCs w:val="28"/>
          <w:lang w:val="pt-BR"/>
        </w:rPr>
        <w:t xml:space="preserve"> </w:t>
      </w:r>
      <w:r>
        <w:rPr>
          <w:color w:val="000000"/>
          <w:sz w:val="28"/>
          <w:szCs w:val="28"/>
          <w:lang w:val="pt-BR"/>
        </w:rPr>
        <w:t>tỷ đồng (bằng tiền Việt Nam).</w:t>
      </w:r>
    </w:p>
    <w:p w:rsidR="001F2DA8" w:rsidRDefault="001F2DA8">
      <w:pPr>
        <w:widowControl w:val="0"/>
        <w:spacing w:after="120"/>
        <w:ind w:firstLine="720"/>
        <w:jc w:val="both"/>
        <w:rPr>
          <w:sz w:val="28"/>
          <w:szCs w:val="28"/>
          <w:lang w:val="pt-BR"/>
        </w:rPr>
      </w:pPr>
      <w:r>
        <w:rPr>
          <w:sz w:val="28"/>
          <w:szCs w:val="28"/>
          <w:lang w:val="pt-BR"/>
        </w:rPr>
        <w:lastRenderedPageBreak/>
        <w:t>3. Kỳ hạn trái phiếu: 05 năm</w:t>
      </w:r>
      <w:r>
        <w:rPr>
          <w:b/>
          <w:sz w:val="28"/>
          <w:szCs w:val="28"/>
          <w:lang w:val="pt-BR"/>
        </w:rPr>
        <w:t xml:space="preserve"> </w:t>
      </w:r>
    </w:p>
    <w:p w:rsidR="001F2DA8" w:rsidRDefault="001F2DA8">
      <w:pPr>
        <w:widowControl w:val="0"/>
        <w:spacing w:after="120"/>
        <w:ind w:firstLine="720"/>
        <w:jc w:val="both"/>
        <w:rPr>
          <w:sz w:val="28"/>
          <w:szCs w:val="28"/>
          <w:lang w:val="pt-BR"/>
        </w:rPr>
      </w:pPr>
      <w:r>
        <w:rPr>
          <w:sz w:val="28"/>
          <w:szCs w:val="28"/>
          <w:lang w:val="pt-BR"/>
        </w:rPr>
        <w:t>4. Mệnh giá trái phiếu: trái phiếu chính quyền địa phương có mệnh giá là 100.000 đồng. Đồng tiền phát hành: Việt Nam đồng</w:t>
      </w:r>
    </w:p>
    <w:p w:rsidR="001F2DA8" w:rsidRDefault="001F2DA8">
      <w:pPr>
        <w:spacing w:after="120"/>
        <w:ind w:firstLine="714"/>
        <w:jc w:val="both"/>
        <w:rPr>
          <w:color w:val="000000"/>
          <w:sz w:val="28"/>
          <w:szCs w:val="28"/>
          <w:lang w:val="vi-VN"/>
        </w:rPr>
      </w:pPr>
      <w:r>
        <w:rPr>
          <w:snapToGrid w:val="0"/>
          <w:sz w:val="28"/>
          <w:szCs w:val="28"/>
          <w:lang w:val="pt-BR"/>
        </w:rPr>
        <w:t>5. Phương thức phát hành: B</w:t>
      </w:r>
      <w:r>
        <w:rPr>
          <w:color w:val="000000"/>
          <w:sz w:val="28"/>
          <w:szCs w:val="28"/>
          <w:lang w:val="vi-VN"/>
        </w:rPr>
        <w:t>ảo lãnh phát hành</w:t>
      </w:r>
      <w:r>
        <w:rPr>
          <w:color w:val="000000"/>
          <w:sz w:val="28"/>
          <w:szCs w:val="28"/>
        </w:rPr>
        <w:t xml:space="preserve">, </w:t>
      </w:r>
      <w:r>
        <w:rPr>
          <w:color w:val="000000"/>
          <w:sz w:val="28"/>
          <w:szCs w:val="28"/>
          <w:lang w:val="vi-VN"/>
        </w:rPr>
        <w:t>đại lý phát hành</w:t>
      </w:r>
    </w:p>
    <w:p w:rsidR="001F2DA8" w:rsidRDefault="001F2DA8">
      <w:pPr>
        <w:widowControl w:val="0"/>
        <w:spacing w:after="120"/>
        <w:ind w:firstLine="720"/>
        <w:jc w:val="both"/>
        <w:rPr>
          <w:sz w:val="28"/>
          <w:szCs w:val="28"/>
          <w:lang w:val="pt-BR"/>
        </w:rPr>
      </w:pPr>
      <w:r>
        <w:rPr>
          <w:sz w:val="28"/>
          <w:szCs w:val="28"/>
          <w:lang w:val="pt-BR"/>
        </w:rPr>
        <w:t xml:space="preserve">6. Hình </w:t>
      </w:r>
      <w:r>
        <w:rPr>
          <w:color w:val="000000"/>
          <w:sz w:val="28"/>
          <w:szCs w:val="28"/>
          <w:lang w:val="pt-BR"/>
        </w:rPr>
        <w:t xml:space="preserve">thức trái phiếu: </w:t>
      </w:r>
      <w:r>
        <w:rPr>
          <w:sz w:val="28"/>
          <w:szCs w:val="28"/>
          <w:lang w:val="pt-BR"/>
        </w:rPr>
        <w:t>Trái phiếu phát hành dưới dạng bút toán ghi sổ</w:t>
      </w:r>
      <w:r w:rsidR="00DB555A">
        <w:rPr>
          <w:sz w:val="28"/>
          <w:szCs w:val="28"/>
          <w:lang w:val="pt-BR"/>
        </w:rPr>
        <w:t xml:space="preserve"> hoặc dữ liệu điện tử</w:t>
      </w:r>
    </w:p>
    <w:p w:rsidR="001F2DA8" w:rsidRDefault="001F2DA8">
      <w:pPr>
        <w:widowControl w:val="0"/>
        <w:spacing w:after="120"/>
        <w:ind w:firstLine="720"/>
        <w:jc w:val="both"/>
        <w:rPr>
          <w:snapToGrid w:val="0"/>
          <w:sz w:val="28"/>
          <w:szCs w:val="28"/>
          <w:lang w:val="pt-BR"/>
        </w:rPr>
      </w:pPr>
      <w:r>
        <w:rPr>
          <w:snapToGrid w:val="0"/>
          <w:sz w:val="28"/>
          <w:szCs w:val="28"/>
          <w:lang w:val="pt-BR"/>
        </w:rPr>
        <w:t>7. Thời gian phát hành trái phiếu: Quý IV năm 2012 và</w:t>
      </w:r>
      <w:r w:rsidR="004F100D">
        <w:rPr>
          <w:snapToGrid w:val="0"/>
          <w:sz w:val="28"/>
          <w:szCs w:val="28"/>
          <w:lang w:val="pt-BR"/>
        </w:rPr>
        <w:t xml:space="preserve"> năm</w:t>
      </w:r>
      <w:r w:rsidR="00C640C8">
        <w:rPr>
          <w:snapToGrid w:val="0"/>
          <w:sz w:val="28"/>
          <w:szCs w:val="28"/>
          <w:lang w:val="pt-BR"/>
        </w:rPr>
        <w:t xml:space="preserve"> </w:t>
      </w:r>
      <w:r>
        <w:rPr>
          <w:snapToGrid w:val="0"/>
          <w:sz w:val="28"/>
          <w:szCs w:val="28"/>
          <w:lang w:val="pt-BR"/>
        </w:rPr>
        <w:t>2013</w:t>
      </w:r>
    </w:p>
    <w:p w:rsidR="001F2DA8" w:rsidRDefault="001F2DA8">
      <w:pPr>
        <w:widowControl w:val="0"/>
        <w:spacing w:after="120"/>
        <w:ind w:firstLine="720"/>
        <w:jc w:val="both"/>
        <w:rPr>
          <w:snapToGrid w:val="0"/>
          <w:sz w:val="28"/>
          <w:szCs w:val="28"/>
          <w:lang w:val="pt-BR"/>
        </w:rPr>
      </w:pPr>
      <w:r>
        <w:rPr>
          <w:snapToGrid w:val="0"/>
          <w:sz w:val="28"/>
          <w:szCs w:val="28"/>
          <w:lang w:val="pt-BR"/>
        </w:rPr>
        <w:t xml:space="preserve">8. Lãi suất trái phiếu </w:t>
      </w:r>
    </w:p>
    <w:p w:rsidR="001F2DA8" w:rsidRDefault="001F2DA8">
      <w:pPr>
        <w:spacing w:after="60"/>
        <w:ind w:firstLine="680"/>
        <w:jc w:val="both"/>
        <w:rPr>
          <w:color w:val="000000"/>
          <w:sz w:val="28"/>
          <w:szCs w:val="28"/>
          <w:lang w:val="vi-VN"/>
        </w:rPr>
      </w:pPr>
      <w:r>
        <w:rPr>
          <w:rStyle w:val="apple-style-span"/>
          <w:color w:val="000000"/>
          <w:sz w:val="28"/>
          <w:szCs w:val="28"/>
          <w:lang w:val="vi-VN"/>
        </w:rPr>
        <w:t>Căn cứ vào khung lãi suất do Bộ Tài chính quy định và tình hình thị trường tại thời điểm phát hành, UBND thành phố quyết định lãi suất phát hành đối với từng đợt phát hành</w:t>
      </w:r>
      <w:r>
        <w:rPr>
          <w:rStyle w:val="apple-style-span"/>
          <w:color w:val="000000"/>
          <w:sz w:val="28"/>
          <w:szCs w:val="28"/>
        </w:rPr>
        <w:t xml:space="preserve">, </w:t>
      </w:r>
      <w:r w:rsidR="00C640C8">
        <w:rPr>
          <w:rStyle w:val="apple-style-span"/>
          <w:color w:val="000000"/>
          <w:sz w:val="28"/>
          <w:szCs w:val="28"/>
        </w:rPr>
        <w:t>nhưng không vượt quá khung lãi s</w:t>
      </w:r>
      <w:r>
        <w:rPr>
          <w:rStyle w:val="apple-style-span"/>
          <w:color w:val="000000"/>
          <w:sz w:val="28"/>
          <w:szCs w:val="28"/>
        </w:rPr>
        <w:t>uất do Bộ Tài chính quy định</w:t>
      </w:r>
      <w:r>
        <w:rPr>
          <w:rStyle w:val="apple-style-span"/>
          <w:color w:val="000000"/>
          <w:sz w:val="28"/>
          <w:szCs w:val="28"/>
          <w:lang w:val="vi-VN"/>
        </w:rPr>
        <w:t>.</w:t>
      </w:r>
    </w:p>
    <w:p w:rsidR="001F2DA8" w:rsidRDefault="001F2DA8">
      <w:pPr>
        <w:widowControl w:val="0"/>
        <w:spacing w:after="120"/>
        <w:ind w:firstLine="720"/>
        <w:jc w:val="both"/>
        <w:rPr>
          <w:snapToGrid w:val="0"/>
          <w:sz w:val="28"/>
          <w:szCs w:val="28"/>
          <w:lang w:val="pt-BR"/>
        </w:rPr>
      </w:pPr>
      <w:r>
        <w:rPr>
          <w:snapToGrid w:val="0"/>
          <w:sz w:val="28"/>
          <w:szCs w:val="28"/>
          <w:lang w:val="pt-BR"/>
        </w:rPr>
        <w:t>9. Phương thức thanh toán nợ gốc, nợ lãi</w:t>
      </w:r>
    </w:p>
    <w:p w:rsidR="001F2DA8" w:rsidRDefault="001F2DA8">
      <w:pPr>
        <w:spacing w:after="120"/>
        <w:ind w:firstLine="720"/>
        <w:jc w:val="both"/>
        <w:rPr>
          <w:sz w:val="28"/>
          <w:szCs w:val="28"/>
          <w:lang w:val="pt-BR"/>
        </w:rPr>
      </w:pPr>
      <w:r>
        <w:rPr>
          <w:sz w:val="28"/>
          <w:szCs w:val="28"/>
          <w:lang w:val="pt-BR"/>
        </w:rPr>
        <w:t>- Tiền gốc: Hoàn trả 01 lần khi đáo hạn.</w:t>
      </w:r>
    </w:p>
    <w:p w:rsidR="001F2DA8" w:rsidRDefault="001F2DA8">
      <w:pPr>
        <w:spacing w:after="120"/>
        <w:ind w:firstLine="720"/>
        <w:jc w:val="both"/>
        <w:rPr>
          <w:sz w:val="28"/>
          <w:szCs w:val="28"/>
          <w:lang w:val="pt-BR"/>
        </w:rPr>
      </w:pPr>
      <w:r>
        <w:rPr>
          <w:sz w:val="28"/>
          <w:szCs w:val="28"/>
          <w:lang w:val="pt-BR"/>
        </w:rPr>
        <w:t xml:space="preserve">- Tiền lãi: Trả sau theo định kỳ 01 năm 01 lần </w:t>
      </w:r>
      <w:r>
        <w:rPr>
          <w:color w:val="000000"/>
          <w:sz w:val="28"/>
          <w:szCs w:val="28"/>
          <w:lang w:val="pt-BR"/>
        </w:rPr>
        <w:t>(không tính nhập gốc)</w:t>
      </w:r>
    </w:p>
    <w:p w:rsidR="001F2DA8" w:rsidRPr="003D36F3" w:rsidRDefault="001F2DA8">
      <w:pPr>
        <w:spacing w:before="240"/>
        <w:ind w:firstLine="720"/>
        <w:jc w:val="both"/>
        <w:rPr>
          <w:sz w:val="28"/>
          <w:lang w:val="pt-BR"/>
        </w:rPr>
      </w:pPr>
      <w:r w:rsidRPr="003D36F3">
        <w:rPr>
          <w:b/>
          <w:color w:val="000000"/>
          <w:sz w:val="28"/>
          <w:szCs w:val="28"/>
          <w:lang w:val="pt-BR"/>
        </w:rPr>
        <w:t>Điều 2.</w:t>
      </w:r>
      <w:r w:rsidRPr="003D36F3">
        <w:rPr>
          <w:color w:val="000000"/>
          <w:sz w:val="28"/>
          <w:szCs w:val="28"/>
          <w:lang w:val="pt-BR"/>
        </w:rPr>
        <w:t xml:space="preserve"> </w:t>
      </w:r>
      <w:r w:rsidRPr="003D36F3">
        <w:rPr>
          <w:sz w:val="28"/>
          <w:lang w:val="pt-BR"/>
        </w:rPr>
        <w:t>Ủy ban nhân dân thành phố Đà Nẵng căn cứ Nghị quyết này tổ chức phát hành trái phiếu theo đúng điều kiện, điều khoản tại Đề án phát hành trái phiếu chính quyền địa phương kèm theo Tờ trình số</w:t>
      </w:r>
      <w:r w:rsidR="00A13A24" w:rsidRPr="003D36F3">
        <w:rPr>
          <w:sz w:val="28"/>
          <w:lang w:val="pt-BR"/>
        </w:rPr>
        <w:t xml:space="preserve"> 9870/</w:t>
      </w:r>
      <w:r w:rsidRPr="003D36F3">
        <w:rPr>
          <w:sz w:val="28"/>
          <w:lang w:val="pt-BR"/>
        </w:rPr>
        <w:t>TTr-UBND ngày</w:t>
      </w:r>
      <w:r w:rsidR="00A13A24" w:rsidRPr="003D36F3">
        <w:rPr>
          <w:sz w:val="28"/>
          <w:lang w:val="pt-BR"/>
        </w:rPr>
        <w:t xml:space="preserve"> 2</w:t>
      </w:r>
      <w:r w:rsidR="00C640C8">
        <w:rPr>
          <w:sz w:val="28"/>
          <w:lang w:val="pt-BR"/>
        </w:rPr>
        <w:t>2</w:t>
      </w:r>
      <w:r w:rsidR="00A13A24" w:rsidRPr="003D36F3">
        <w:rPr>
          <w:sz w:val="28"/>
          <w:lang w:val="pt-BR"/>
        </w:rPr>
        <w:t xml:space="preserve"> </w:t>
      </w:r>
      <w:r w:rsidRPr="003D36F3">
        <w:rPr>
          <w:sz w:val="28"/>
          <w:lang w:val="pt-BR"/>
        </w:rPr>
        <w:t xml:space="preserve">tháng 11 năm 2012. </w:t>
      </w:r>
    </w:p>
    <w:p w:rsidR="001F2DA8" w:rsidRDefault="001F2DA8">
      <w:pPr>
        <w:spacing w:before="240"/>
        <w:jc w:val="both"/>
        <w:rPr>
          <w:sz w:val="28"/>
          <w:lang w:val="pt-BR"/>
        </w:rPr>
      </w:pPr>
      <w:r w:rsidRPr="003D36F3">
        <w:rPr>
          <w:sz w:val="28"/>
          <w:lang w:val="pt-BR"/>
        </w:rPr>
        <w:tab/>
        <w:t xml:space="preserve">Nghị quyết này đã được Hội đồng nhân dân thành phố khóa VIII, nhiệm kỳ 2011 - 2016, kỳ họp thứ 5 thông qua ngày </w:t>
      </w:r>
      <w:r w:rsidR="00C640C8">
        <w:rPr>
          <w:sz w:val="28"/>
          <w:lang w:val="pt-BR"/>
        </w:rPr>
        <w:t>05</w:t>
      </w:r>
      <w:r w:rsidRPr="003D36F3">
        <w:rPr>
          <w:sz w:val="28"/>
          <w:lang w:val="pt-BR"/>
        </w:rPr>
        <w:t xml:space="preserve"> tháng 12 năm 2012./.</w:t>
      </w:r>
    </w:p>
    <w:p w:rsidR="00C640C8" w:rsidRDefault="00C640C8">
      <w:pPr>
        <w:spacing w:before="240"/>
        <w:jc w:val="both"/>
        <w:rPr>
          <w:sz w:val="28"/>
          <w:lang w:val="pt-BR"/>
        </w:rPr>
      </w:pPr>
    </w:p>
    <w:tbl>
      <w:tblPr>
        <w:tblW w:w="9588" w:type="dxa"/>
        <w:tblLook w:val="01E0" w:firstRow="1" w:lastRow="1" w:firstColumn="1" w:lastColumn="1" w:noHBand="0" w:noVBand="0"/>
      </w:tblPr>
      <w:tblGrid>
        <w:gridCol w:w="5148"/>
        <w:gridCol w:w="4440"/>
      </w:tblGrid>
      <w:tr w:rsidR="00C640C8" w:rsidRPr="0037162C" w:rsidTr="003978E9">
        <w:trPr>
          <w:trHeight w:val="1037"/>
        </w:trPr>
        <w:tc>
          <w:tcPr>
            <w:tcW w:w="5148" w:type="dxa"/>
          </w:tcPr>
          <w:p w:rsidR="00C640C8" w:rsidRPr="00A72E09" w:rsidRDefault="00C640C8" w:rsidP="002722F8">
            <w:pPr>
              <w:rPr>
                <w:sz w:val="22"/>
              </w:rPr>
            </w:pPr>
          </w:p>
        </w:tc>
        <w:tc>
          <w:tcPr>
            <w:tcW w:w="4440" w:type="dxa"/>
          </w:tcPr>
          <w:p w:rsidR="00C640C8" w:rsidRPr="00A72E09" w:rsidRDefault="00C640C8" w:rsidP="002722F8">
            <w:pPr>
              <w:pStyle w:val="Heading5"/>
              <w:rPr>
                <w:b/>
                <w:lang w:val="fr-FR"/>
              </w:rPr>
            </w:pPr>
            <w:r>
              <w:rPr>
                <w:b/>
                <w:lang w:val="fr-FR"/>
              </w:rPr>
              <w:t xml:space="preserve">                  </w:t>
            </w:r>
            <w:r w:rsidRPr="00A72E09">
              <w:rPr>
                <w:b/>
                <w:lang w:val="fr-FR"/>
              </w:rPr>
              <w:t>CHỦ TỊCH</w:t>
            </w:r>
          </w:p>
          <w:p w:rsidR="00C640C8" w:rsidRPr="00A72E09" w:rsidRDefault="00C640C8" w:rsidP="002722F8">
            <w:pPr>
              <w:jc w:val="center"/>
              <w:rPr>
                <w:sz w:val="22"/>
                <w:lang w:val="fr-FR"/>
              </w:rPr>
            </w:pPr>
            <w:r>
              <w:rPr>
                <w:b/>
                <w:sz w:val="28"/>
                <w:lang w:val="fr-FR"/>
              </w:rPr>
              <w:t xml:space="preserve">  </w:t>
            </w:r>
          </w:p>
          <w:p w:rsidR="00C640C8" w:rsidRPr="0037162C" w:rsidRDefault="008E7AD5" w:rsidP="002722F8">
            <w:pPr>
              <w:rPr>
                <w:lang w:val="fr-FR"/>
              </w:rPr>
            </w:pPr>
            <w:r>
              <w:rPr>
                <w:b/>
                <w:sz w:val="28"/>
                <w:lang w:val="fr-FR"/>
              </w:rPr>
              <w:t xml:space="preserve">            </w:t>
            </w:r>
            <w:r w:rsidR="00C640C8">
              <w:rPr>
                <w:b/>
                <w:sz w:val="28"/>
                <w:lang w:val="fr-FR"/>
              </w:rPr>
              <w:t xml:space="preserve">  </w:t>
            </w:r>
            <w:r w:rsidR="00C640C8" w:rsidRPr="00A72E09">
              <w:rPr>
                <w:b/>
                <w:sz w:val="28"/>
                <w:lang w:val="fr-FR"/>
              </w:rPr>
              <w:t>Nguyễn Bá Thanh</w:t>
            </w:r>
          </w:p>
        </w:tc>
      </w:tr>
    </w:tbl>
    <w:p w:rsidR="00C640C8" w:rsidRPr="003D36F3" w:rsidRDefault="00C640C8">
      <w:pPr>
        <w:spacing w:before="240"/>
        <w:jc w:val="both"/>
        <w:rPr>
          <w:sz w:val="28"/>
          <w:lang w:val="pt-BR"/>
        </w:rPr>
      </w:pPr>
    </w:p>
    <w:p w:rsidR="001F2DA8" w:rsidRPr="003D36F3" w:rsidRDefault="001F2DA8">
      <w:pPr>
        <w:jc w:val="both"/>
        <w:rPr>
          <w:lang w:val="pt-BR"/>
        </w:rPr>
      </w:pPr>
    </w:p>
    <w:p w:rsidR="001F2DA8" w:rsidRDefault="001F2DA8">
      <w:pPr>
        <w:jc w:val="both"/>
        <w:rPr>
          <w:sz w:val="22"/>
        </w:rPr>
      </w:pPr>
    </w:p>
    <w:sectPr w:rsidR="001F2DA8" w:rsidSect="008E7AD5">
      <w:footerReference w:type="even" r:id="rId7"/>
      <w:footerReference w:type="default" r:id="rId8"/>
      <w:pgSz w:w="11909" w:h="16834"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1D" w:rsidRDefault="00C67E1D">
      <w:r>
        <w:separator/>
      </w:r>
    </w:p>
  </w:endnote>
  <w:endnote w:type="continuationSeparator" w:id="0">
    <w:p w:rsidR="00C67E1D" w:rsidRDefault="00C6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UVnTime">
    <w:altName w:val="Times New Roman"/>
    <w:charset w:val="00"/>
    <w:family w:val="swiss"/>
    <w:pitch w:val="variable"/>
    <w:sig w:usb0="00000003"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A8" w:rsidRDefault="001F2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2DA8" w:rsidRDefault="001F2D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A8" w:rsidRDefault="001F2D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1D" w:rsidRDefault="00C67E1D">
      <w:r>
        <w:separator/>
      </w:r>
    </w:p>
  </w:footnote>
  <w:footnote w:type="continuationSeparator" w:id="0">
    <w:p w:rsidR="00C67E1D" w:rsidRDefault="00C67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2827"/>
    <w:multiLevelType w:val="hybridMultilevel"/>
    <w:tmpl w:val="3F6A191E"/>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0E6FD5"/>
    <w:multiLevelType w:val="singleLevel"/>
    <w:tmpl w:val="F7C84112"/>
    <w:lvl w:ilvl="0">
      <w:numFmt w:val="bullet"/>
      <w:lvlText w:val="-"/>
      <w:lvlJc w:val="left"/>
      <w:pPr>
        <w:tabs>
          <w:tab w:val="num" w:pos="3465"/>
        </w:tabs>
        <w:ind w:left="3465" w:hanging="360"/>
      </w:pPr>
      <w:rPr>
        <w:rFonts w:ascii="Times New Roman" w:hAnsi="Times New Roman" w:hint="default"/>
      </w:rPr>
    </w:lvl>
  </w:abstractNum>
  <w:abstractNum w:abstractNumId="2" w15:restartNumberingAfterBreak="0">
    <w:nsid w:val="2EB045B9"/>
    <w:multiLevelType w:val="hybridMultilevel"/>
    <w:tmpl w:val="024C68CC"/>
    <w:lvl w:ilvl="0" w:tplc="FFFFFFFF">
      <w:start w:val="1"/>
      <w:numFmt w:val="bullet"/>
      <w:lvlText w:val=""/>
      <w:lvlJc w:val="left"/>
      <w:pPr>
        <w:tabs>
          <w:tab w:val="num" w:pos="1515"/>
        </w:tabs>
        <w:ind w:left="1515" w:hanging="360"/>
      </w:pPr>
      <w:rPr>
        <w:rFonts w:ascii="Symbol" w:hAnsi="Symbol" w:hint="default"/>
      </w:rPr>
    </w:lvl>
    <w:lvl w:ilvl="1" w:tplc="FFFFFFFF" w:tentative="1">
      <w:start w:val="1"/>
      <w:numFmt w:val="bullet"/>
      <w:lvlText w:val="o"/>
      <w:lvlJc w:val="left"/>
      <w:pPr>
        <w:tabs>
          <w:tab w:val="num" w:pos="2235"/>
        </w:tabs>
        <w:ind w:left="2235" w:hanging="360"/>
      </w:pPr>
      <w:rPr>
        <w:rFonts w:ascii="Courier New" w:hAnsi="Courier New" w:cs="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cs="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cs="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3" w15:restartNumberingAfterBreak="0">
    <w:nsid w:val="34CD6454"/>
    <w:multiLevelType w:val="hybridMultilevel"/>
    <w:tmpl w:val="00E4AAF4"/>
    <w:lvl w:ilvl="0" w:tplc="FFFFFFFF">
      <w:start w:val="1"/>
      <w:numFmt w:val="bullet"/>
      <w:lvlText w:val=""/>
      <w:lvlJc w:val="left"/>
      <w:pPr>
        <w:tabs>
          <w:tab w:val="num" w:pos="1515"/>
        </w:tabs>
        <w:ind w:left="1515" w:hanging="360"/>
      </w:pPr>
      <w:rPr>
        <w:rFonts w:ascii="Symbol" w:hAnsi="Symbol" w:hint="default"/>
      </w:rPr>
    </w:lvl>
    <w:lvl w:ilvl="1" w:tplc="FFFFFFFF" w:tentative="1">
      <w:start w:val="1"/>
      <w:numFmt w:val="bullet"/>
      <w:lvlText w:val="o"/>
      <w:lvlJc w:val="left"/>
      <w:pPr>
        <w:tabs>
          <w:tab w:val="num" w:pos="2235"/>
        </w:tabs>
        <w:ind w:left="2235" w:hanging="360"/>
      </w:pPr>
      <w:rPr>
        <w:rFonts w:ascii="Courier New" w:hAnsi="Courier New" w:cs="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cs="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cs="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394E133A"/>
    <w:multiLevelType w:val="singleLevel"/>
    <w:tmpl w:val="84EA8D60"/>
    <w:lvl w:ilvl="0">
      <w:numFmt w:val="bullet"/>
      <w:lvlText w:val="-"/>
      <w:lvlJc w:val="left"/>
      <w:pPr>
        <w:tabs>
          <w:tab w:val="num" w:pos="360"/>
        </w:tabs>
        <w:ind w:left="360" w:hanging="360"/>
      </w:pPr>
      <w:rPr>
        <w:rFonts w:ascii="Times New Roman" w:hAnsi="Times New Roman" w:hint="default"/>
        <w:sz w:val="28"/>
      </w:rPr>
    </w:lvl>
  </w:abstractNum>
  <w:abstractNum w:abstractNumId="5" w15:restartNumberingAfterBreak="0">
    <w:nsid w:val="4CB62122"/>
    <w:multiLevelType w:val="singleLevel"/>
    <w:tmpl w:val="89A26E7C"/>
    <w:lvl w:ilvl="0">
      <w:numFmt w:val="bullet"/>
      <w:lvlText w:val="-"/>
      <w:lvlJc w:val="left"/>
      <w:pPr>
        <w:tabs>
          <w:tab w:val="num" w:pos="1080"/>
        </w:tabs>
        <w:ind w:left="1080" w:hanging="360"/>
      </w:pPr>
      <w:rPr>
        <w:rFonts w:ascii="Times New Roman" w:hAnsi="Times New Roman" w:hint="default"/>
      </w:rPr>
    </w:lvl>
  </w:abstractNum>
  <w:abstractNum w:abstractNumId="6" w15:restartNumberingAfterBreak="0">
    <w:nsid w:val="529C7978"/>
    <w:multiLevelType w:val="hybridMultilevel"/>
    <w:tmpl w:val="78BE9642"/>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5D4A03"/>
    <w:multiLevelType w:val="hybridMultilevel"/>
    <w:tmpl w:val="9C527658"/>
    <w:lvl w:ilvl="0" w:tplc="FFFFFFFF">
      <w:start w:val="3"/>
      <w:numFmt w:val="bullet"/>
      <w:lvlText w:val="-"/>
      <w:lvlJc w:val="left"/>
      <w:pPr>
        <w:tabs>
          <w:tab w:val="num" w:pos="1069"/>
        </w:tabs>
        <w:ind w:left="1069" w:hanging="360"/>
      </w:pPr>
      <w:rPr>
        <w:rFonts w:ascii="Times New Roman" w:eastAsia="Times New Roman" w:hAnsi="Times New Roman" w:cs="Times New Roman" w:hint="default"/>
        <w:i/>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7A607CFE"/>
    <w:multiLevelType w:val="singleLevel"/>
    <w:tmpl w:val="BD6EAA4C"/>
    <w:lvl w:ilvl="0">
      <w:numFmt w:val="bullet"/>
      <w:lvlText w:val="-"/>
      <w:lvlJc w:val="left"/>
      <w:pPr>
        <w:tabs>
          <w:tab w:val="num" w:pos="360"/>
        </w:tabs>
        <w:ind w:left="360" w:hanging="360"/>
      </w:pPr>
      <w:rPr>
        <w:rFonts w:ascii="Times New Roman" w:hAnsi="Times New Roman" w:hint="default"/>
        <w:b w:val="0"/>
      </w:rPr>
    </w:lvl>
  </w:abstractNum>
  <w:num w:numId="1">
    <w:abstractNumId w:val="4"/>
  </w:num>
  <w:num w:numId="2">
    <w:abstractNumId w:val="1"/>
  </w:num>
  <w:num w:numId="3">
    <w:abstractNumId w:val="8"/>
  </w:num>
  <w:num w:numId="4">
    <w:abstractNumId w:val="5"/>
  </w:num>
  <w:num w:numId="5">
    <w:abstractNumId w:val="0"/>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24"/>
    <w:rsid w:val="0011635A"/>
    <w:rsid w:val="001C1E3F"/>
    <w:rsid w:val="001E2C5D"/>
    <w:rsid w:val="001F2DA8"/>
    <w:rsid w:val="002227A7"/>
    <w:rsid w:val="002722F8"/>
    <w:rsid w:val="002821ED"/>
    <w:rsid w:val="003978E9"/>
    <w:rsid w:val="003D36F3"/>
    <w:rsid w:val="004F100D"/>
    <w:rsid w:val="00527E93"/>
    <w:rsid w:val="005C21FF"/>
    <w:rsid w:val="006748E0"/>
    <w:rsid w:val="006C76E4"/>
    <w:rsid w:val="008361C5"/>
    <w:rsid w:val="008E1F6F"/>
    <w:rsid w:val="008E7AD5"/>
    <w:rsid w:val="008F2775"/>
    <w:rsid w:val="009443FE"/>
    <w:rsid w:val="00961D08"/>
    <w:rsid w:val="009D0F6F"/>
    <w:rsid w:val="009E1306"/>
    <w:rsid w:val="009F7188"/>
    <w:rsid w:val="00A13A24"/>
    <w:rsid w:val="00A53D3F"/>
    <w:rsid w:val="00B065F9"/>
    <w:rsid w:val="00C640C8"/>
    <w:rsid w:val="00C67E1D"/>
    <w:rsid w:val="00D66958"/>
    <w:rsid w:val="00DB555A"/>
    <w:rsid w:val="00E4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B20A6E4-29F6-487A-9C7B-D866B63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qFormat/>
    <w:pPr>
      <w:keepNext/>
      <w:jc w:val="both"/>
      <w:outlineLvl w:val="5"/>
    </w:pPr>
    <w:rPr>
      <w:sz w:val="31"/>
      <w:szCs w:val="20"/>
      <w:u w:val="single"/>
    </w:rPr>
  </w:style>
  <w:style w:type="paragraph" w:styleId="Heading9">
    <w:name w:val="heading 9"/>
    <w:basedOn w:val="Normal"/>
    <w:next w:val="Normal"/>
    <w:qFormat/>
    <w:pPr>
      <w:keepNext/>
      <w:jc w:val="center"/>
      <w:outlineLvl w:val="8"/>
    </w:pPr>
    <w:rPr>
      <w:rFonts w:ascii=".VnTimeH" w:hAnsi=".VnTimeH"/>
      <w:b/>
      <w:sz w:val="35"/>
      <w:szCs w:val="20"/>
    </w:rPr>
  </w:style>
  <w:style w:type="character" w:default="1" w:styleId="DefaultParagraphFont">
    <w:name w:val="Default Paragraph Font"/>
    <w:aliases w:val=" Char Char Char Char1"/>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rPr>
  </w:style>
  <w:style w:type="paragraph" w:styleId="BodyTextIndent3">
    <w:name w:val="Body Text Indent 3"/>
    <w:basedOn w:val="Normal"/>
    <w:pPr>
      <w:ind w:firstLine="720"/>
      <w:jc w:val="both"/>
    </w:pPr>
    <w:rPr>
      <w:rFonts w:ascii="UVnTime" w:hAnsi="UVnTime"/>
      <w:b/>
      <w:i/>
      <w:sz w:val="26"/>
      <w:szCs w:val="20"/>
    </w:rPr>
  </w:style>
  <w:style w:type="paragraph" w:styleId="BodyTextIndent">
    <w:name w:val="Body Text Indent"/>
    <w:basedOn w:val="Normal"/>
    <w:pPr>
      <w:ind w:firstLine="720"/>
    </w:pPr>
    <w:rPr>
      <w:rFonts w:ascii="UVnTime" w:hAnsi="UVnTime"/>
      <w:sz w:val="26"/>
      <w:szCs w:val="20"/>
    </w:rPr>
  </w:style>
  <w:style w:type="paragraph" w:styleId="BodyText2">
    <w:name w:val="Body Text 2"/>
    <w:basedOn w:val="Normal"/>
    <w:pPr>
      <w:tabs>
        <w:tab w:val="left" w:pos="0"/>
      </w:tabs>
      <w:jc w:val="both"/>
    </w:pPr>
    <w:rPr>
      <w:rFonts w:ascii="UVnTime" w:hAnsi="UVnTime"/>
      <w:sz w:val="26"/>
      <w:szCs w:val="20"/>
    </w:rPr>
  </w:style>
  <w:style w:type="paragraph" w:styleId="BodyTextIndent2">
    <w:name w:val="Body Text Indent 2"/>
    <w:basedOn w:val="Normal"/>
    <w:pPr>
      <w:ind w:firstLine="720"/>
      <w:jc w:val="both"/>
    </w:pPr>
    <w:rPr>
      <w:color w:val="000000"/>
      <w:sz w:val="26"/>
      <w:szCs w:val="20"/>
    </w:rPr>
  </w:style>
  <w:style w:type="paragraph" w:styleId="Footer">
    <w:name w:val="footer"/>
    <w:basedOn w:val="Normal"/>
    <w:pPr>
      <w:tabs>
        <w:tab w:val="center" w:pos="4320"/>
        <w:tab w:val="right" w:pos="8640"/>
      </w:tabs>
    </w:pPr>
    <w:rPr>
      <w:rFonts w:ascii="UVnTime" w:hAnsi="UVnTime"/>
      <w:sz w:val="26"/>
      <w:szCs w:val="20"/>
    </w:rPr>
  </w:style>
  <w:style w:type="character" w:styleId="PageNumber">
    <w:name w:val="page number"/>
    <w:basedOn w:val="DefaultParagraphFont"/>
  </w:style>
  <w:style w:type="paragraph" w:styleId="Title">
    <w:name w:val="Title"/>
    <w:basedOn w:val="Normal"/>
    <w:qFormat/>
    <w:pPr>
      <w:jc w:val="center"/>
    </w:pPr>
    <w:rPr>
      <w:sz w:val="26"/>
    </w:rPr>
  </w:style>
  <w:style w:type="paragraph" w:styleId="Header">
    <w:name w:val="header"/>
    <w:basedOn w:val="Normal"/>
    <w:pPr>
      <w:tabs>
        <w:tab w:val="center" w:pos="4320"/>
        <w:tab w:val="right" w:pos="8640"/>
      </w:tabs>
    </w:pPr>
    <w:rPr>
      <w:rFonts w:ascii="UVnTime" w:hAnsi="UVnTime"/>
      <w:sz w:val="26"/>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 Char Char"/>
    <w:basedOn w:val="Normal"/>
    <w:link w:val="DefaultParagraphFont"/>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style-span">
    <w:name w:val="apple-style-span"/>
    <w:basedOn w:val="DefaultParagraphFont"/>
  </w:style>
  <w:style w:type="paragraph" w:customStyle="1" w:styleId="CharCharCharChar">
    <w:name w:val=" Char Char Char Char"/>
    <w:basedOn w:val="Normal"/>
    <w:autoRedefine/>
    <w:rsid w:val="00C640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stcdanang</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subject/>
  <dc:creator>hongocnam</dc:creator>
  <cp:keywords/>
  <cp:lastModifiedBy>Truong Cong Nguyen Thanh</cp:lastModifiedBy>
  <cp:revision>3</cp:revision>
  <cp:lastPrinted>2012-12-14T01:23:00Z</cp:lastPrinted>
  <dcterms:created xsi:type="dcterms:W3CDTF">2021-04-20T08:38:00Z</dcterms:created>
  <dcterms:modified xsi:type="dcterms:W3CDTF">2021-04-20T08:38:00Z</dcterms:modified>
</cp:coreProperties>
</file>