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9" w:type="dxa"/>
        <w:tblLook w:val="01E0" w:firstRow="1" w:lastRow="1" w:firstColumn="1" w:lastColumn="1" w:noHBand="0" w:noVBand="0"/>
      </w:tblPr>
      <w:tblGrid>
        <w:gridCol w:w="4082"/>
        <w:gridCol w:w="6087"/>
      </w:tblGrid>
      <w:tr w:rsidR="00C65EC2" w:rsidTr="00C65EC2">
        <w:trPr>
          <w:trHeight w:val="568"/>
        </w:trPr>
        <w:tc>
          <w:tcPr>
            <w:tcW w:w="4082" w:type="dxa"/>
            <w:hideMark/>
          </w:tcPr>
          <w:p w:rsidR="00C65EC2" w:rsidRDefault="00C65EC2" w:rsidP="00A670FE">
            <w:pPr>
              <w:rPr>
                <w:rFonts w:ascii="Times New Roman" w:eastAsia="Times New Roman" w:hAnsi="Times New Roman" w:cs="Times New Roman"/>
                <w:b/>
                <w:color w:val="auto"/>
                <w:sz w:val="26"/>
                <w:szCs w:val="26"/>
                <w:lang w:val="en-US"/>
              </w:rPr>
            </w:pPr>
            <w:bookmarkStart w:id="0" w:name="_GoBack"/>
            <w:bookmarkEnd w:id="0"/>
            <w:r>
              <w:rPr>
                <w:rFonts w:ascii="Times New Roman" w:eastAsia="Times New Roman" w:hAnsi="Times New Roman" w:cs="Times New Roman"/>
                <w:b/>
                <w:color w:val="auto"/>
                <w:sz w:val="26"/>
                <w:szCs w:val="26"/>
              </w:rPr>
              <w:t xml:space="preserve">HỘI ĐỒNG NHÂN DÂN </w:t>
            </w:r>
          </w:p>
          <w:p w:rsidR="00C65EC2" w:rsidRDefault="00C65EC2" w:rsidP="00A670FE">
            <w:pPr>
              <w:rPr>
                <w:rFonts w:ascii="Times New Roman" w:eastAsia="Times New Roman" w:hAnsi="Times New Roman" w:cs="Times New Roman"/>
                <w:b/>
                <w:color w:val="auto"/>
                <w:sz w:val="26"/>
                <w:szCs w:val="26"/>
                <w:lang w:val="en-US"/>
              </w:rPr>
            </w:pPr>
            <w:r>
              <w:rPr>
                <w:rFonts w:ascii="Times New Roman" w:eastAsia="Times New Roman" w:hAnsi="Times New Roman" w:cs="Times New Roman"/>
                <w:b/>
                <w:color w:val="auto"/>
                <w:sz w:val="26"/>
                <w:szCs w:val="26"/>
              </w:rPr>
              <w:t>T</w:t>
            </w:r>
            <w:r>
              <w:rPr>
                <w:rFonts w:ascii="Times New Roman" w:eastAsia="Times New Roman" w:hAnsi="Times New Roman" w:cs="Times New Roman"/>
                <w:b/>
                <w:color w:val="auto"/>
                <w:sz w:val="26"/>
                <w:szCs w:val="26"/>
                <w:lang w:val="en-US"/>
              </w:rPr>
              <w:t>HÀNH PHỐ ĐÀ NẴNG</w:t>
            </w:r>
          </w:p>
        </w:tc>
        <w:tc>
          <w:tcPr>
            <w:tcW w:w="6087" w:type="dxa"/>
            <w:hideMark/>
          </w:tcPr>
          <w:p w:rsidR="00C65EC2" w:rsidRDefault="00C65EC2" w:rsidP="00A670FE">
            <w:pPr>
              <w:rPr>
                <w:rFonts w:ascii="Times New Roman" w:eastAsia="Times New Roman" w:hAnsi="Times New Roman" w:cs="Times New Roman"/>
                <w:b/>
                <w:color w:val="auto"/>
                <w:sz w:val="28"/>
                <w:szCs w:val="28"/>
                <w:lang w:val="en-US"/>
              </w:rPr>
            </w:pPr>
            <w:r>
              <w:rPr>
                <w:rFonts w:ascii="Times New Roman" w:eastAsia="Times New Roman" w:hAnsi="Times New Roman" w:cs="Times New Roman"/>
                <w:b/>
                <w:color w:val="auto"/>
                <w:sz w:val="26"/>
                <w:szCs w:val="26"/>
              </w:rPr>
              <w:t>CỘNG HÒA XÃ HỘI CHỦ NGHĨA VIỆT NAM</w:t>
            </w:r>
            <w:r>
              <w:rPr>
                <w:rFonts w:ascii="Times New Roman" w:eastAsia="Times New Roman" w:hAnsi="Times New Roman" w:cs="Times New Roman"/>
                <w:b/>
                <w:color w:val="auto"/>
                <w:sz w:val="28"/>
                <w:szCs w:val="28"/>
              </w:rPr>
              <w:br/>
              <w:t xml:space="preserve">Độc lập - Tự do - Hạnh phúc </w:t>
            </w:r>
          </w:p>
        </w:tc>
      </w:tr>
      <w:tr w:rsidR="00C65EC2" w:rsidTr="00C65EC2">
        <w:trPr>
          <w:trHeight w:val="60"/>
        </w:trPr>
        <w:tc>
          <w:tcPr>
            <w:tcW w:w="4082" w:type="dxa"/>
            <w:hideMark/>
          </w:tcPr>
          <w:p w:rsidR="00C65EC2" w:rsidRDefault="00C8706B">
            <w:pPr>
              <w:spacing w:beforeLines="60" w:before="144" w:afterLines="60" w:after="144" w:line="264" w:lineRule="auto"/>
              <w:rPr>
                <w:rFonts w:ascii="Times New Roman" w:eastAsia="Times New Roman" w:hAnsi="Times New Roman" w:cs="Times New Roman"/>
                <w:color w:val="auto"/>
                <w:sz w:val="28"/>
                <w:szCs w:val="28"/>
              </w:rPr>
            </w:pPr>
            <w:r>
              <w:rPr>
                <w:rFonts w:ascii="Times New Roman" w:eastAsia="Times New Roman" w:hAnsi="Times New Roman" w:cs="Times New Roman"/>
                <w:noProof/>
                <w:color w:val="auto"/>
                <w:sz w:val="28"/>
                <w:szCs w:val="28"/>
                <w:lang w:val="en-US" w:eastAsia="en-US"/>
              </w:rPr>
              <mc:AlternateContent>
                <mc:Choice Requires="wps">
                  <w:drawing>
                    <wp:anchor distT="0" distB="0" distL="114300" distR="114300" simplePos="0" relativeHeight="251659264" behindDoc="0" locked="0" layoutInCell="1" allowOverlap="1" wp14:anchorId="76A92734" wp14:editId="5251F45E">
                      <wp:simplePos x="0" y="0"/>
                      <wp:positionH relativeFrom="column">
                        <wp:posOffset>823265</wp:posOffset>
                      </wp:positionH>
                      <wp:positionV relativeFrom="paragraph">
                        <wp:posOffset>-3175</wp:posOffset>
                      </wp:positionV>
                      <wp:extent cx="767715" cy="0"/>
                      <wp:effectExtent l="0" t="0" r="13335" b="19050"/>
                      <wp:wrapNone/>
                      <wp:docPr id="4" name="Straight Connector 4"/>
                      <wp:cNvGraphicFramePr/>
                      <a:graphic xmlns:a="http://schemas.openxmlformats.org/drawingml/2006/main">
                        <a:graphicData uri="http://schemas.microsoft.com/office/word/2010/wordprocessingShape">
                          <wps:wsp>
                            <wps:cNvCnPr/>
                            <wps:spPr>
                              <a:xfrm>
                                <a:off x="0" y="0"/>
                                <a:ext cx="7677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8pt,-.25pt" to="12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" strokecolor="black [3040]"/>
                  </w:pict>
                </mc:Fallback>
              </mc:AlternateContent>
            </w:r>
            <w:r w:rsidR="00C65EC2">
              <w:rPr>
                <w:rFonts w:ascii="Times New Roman" w:eastAsia="Times New Roman" w:hAnsi="Times New Roman" w:cs="Times New Roman"/>
                <w:color w:val="auto"/>
                <w:sz w:val="28"/>
                <w:szCs w:val="28"/>
              </w:rPr>
              <w:t>S</w:t>
            </w:r>
            <w:r w:rsidR="00C65EC2">
              <w:rPr>
                <w:rFonts w:ascii="Times New Roman" w:eastAsia="Times New Roman" w:hAnsi="Times New Roman" w:cs="Times New Roman"/>
                <w:color w:val="auto"/>
                <w:sz w:val="28"/>
                <w:szCs w:val="28"/>
                <w:lang w:val="en-US"/>
              </w:rPr>
              <w:t>ố</w:t>
            </w:r>
            <w:r w:rsidR="00C65EC2">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lang w:val="en-US"/>
              </w:rPr>
              <w:t xml:space="preserve">           </w:t>
            </w:r>
            <w:r w:rsidR="00C65EC2">
              <w:rPr>
                <w:rFonts w:ascii="Times New Roman" w:eastAsia="Times New Roman" w:hAnsi="Times New Roman" w:cs="Times New Roman"/>
                <w:color w:val="auto"/>
                <w:sz w:val="28"/>
                <w:szCs w:val="28"/>
              </w:rPr>
              <w:t>/2</w:t>
            </w:r>
            <w:r w:rsidR="00C65EC2">
              <w:rPr>
                <w:rFonts w:ascii="Times New Roman" w:eastAsia="Times New Roman" w:hAnsi="Times New Roman" w:cs="Times New Roman"/>
                <w:color w:val="auto"/>
                <w:sz w:val="28"/>
                <w:szCs w:val="28"/>
                <w:lang w:val="en-US"/>
              </w:rPr>
              <w:t>018</w:t>
            </w:r>
            <w:r w:rsidR="00C65EC2">
              <w:rPr>
                <w:rFonts w:ascii="Times New Roman" w:eastAsia="Times New Roman" w:hAnsi="Times New Roman" w:cs="Times New Roman"/>
                <w:color w:val="auto"/>
                <w:sz w:val="28"/>
                <w:szCs w:val="28"/>
              </w:rPr>
              <w:t>/NQ-HĐND</w:t>
            </w:r>
          </w:p>
        </w:tc>
        <w:tc>
          <w:tcPr>
            <w:tcW w:w="6087" w:type="dxa"/>
            <w:hideMark/>
          </w:tcPr>
          <w:p w:rsidR="00C65EC2" w:rsidRDefault="00C65EC2">
            <w:pPr>
              <w:spacing w:beforeLines="60" w:before="144" w:afterLines="60" w:after="144" w:line="264" w:lineRule="auto"/>
              <w:rPr>
                <w:rFonts w:ascii="Times New Roman" w:eastAsia="Times New Roman" w:hAnsi="Times New Roman" w:cs="Times New Roman"/>
                <w:i/>
                <w:color w:val="auto"/>
                <w:sz w:val="28"/>
                <w:szCs w:val="28"/>
                <w:lang w:val="en-US"/>
              </w:rPr>
            </w:pPr>
            <w:r>
              <w:rPr>
                <w:noProof/>
                <w:lang w:val="en-US" w:eastAsia="en-US"/>
              </w:rPr>
              <mc:AlternateContent>
                <mc:Choice Requires="wps">
                  <w:drawing>
                    <wp:anchor distT="4294967295" distB="4294967295" distL="114300" distR="114300" simplePos="0" relativeHeight="251656704" behindDoc="0" locked="0" layoutInCell="1" allowOverlap="1">
                      <wp:simplePos x="0" y="0"/>
                      <wp:positionH relativeFrom="column">
                        <wp:posOffset>792175</wp:posOffset>
                      </wp:positionH>
                      <wp:positionV relativeFrom="paragraph">
                        <wp:posOffset>30480</wp:posOffset>
                      </wp:positionV>
                      <wp:extent cx="2130425" cy="0"/>
                      <wp:effectExtent l="0" t="0" r="222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0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4pt,2.4pt" to="230.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" strokecolor="#4579b8 [3044]">
                      <o:lock v:ext="edit" shapetype="f"/>
                    </v:line>
                  </w:pict>
                </mc:Fallback>
              </mc:AlternateContent>
            </w:r>
            <w:r>
              <w:rPr>
                <w:rFonts w:ascii="Times New Roman" w:eastAsia="Times New Roman" w:hAnsi="Times New Roman" w:cs="Times New Roman"/>
                <w:i/>
                <w:color w:val="auto"/>
                <w:sz w:val="28"/>
                <w:szCs w:val="28"/>
                <w:lang w:val="en-US"/>
              </w:rPr>
              <w:t>Đà Nẵng</w:t>
            </w:r>
            <w:r>
              <w:rPr>
                <w:rFonts w:ascii="Times New Roman" w:eastAsia="Times New Roman" w:hAnsi="Times New Roman" w:cs="Times New Roman"/>
                <w:i/>
                <w:color w:val="auto"/>
                <w:sz w:val="28"/>
                <w:szCs w:val="28"/>
              </w:rPr>
              <w:t>, ngày ... tháng ... năm 20</w:t>
            </w:r>
            <w:r>
              <w:rPr>
                <w:rFonts w:ascii="Times New Roman" w:eastAsia="Times New Roman" w:hAnsi="Times New Roman" w:cs="Times New Roman"/>
                <w:i/>
                <w:color w:val="auto"/>
                <w:sz w:val="28"/>
                <w:szCs w:val="28"/>
                <w:lang w:val="en-US"/>
              </w:rPr>
              <w:t>18</w:t>
            </w:r>
          </w:p>
        </w:tc>
      </w:tr>
    </w:tbl>
    <w:p w:rsidR="00C65EC2" w:rsidRDefault="00C65EC2" w:rsidP="00C65EC2">
      <w:pPr>
        <w:tabs>
          <w:tab w:val="right" w:leader="dot" w:pos="8640"/>
        </w:tabs>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                (DỰ THẢO)</w:t>
      </w:r>
    </w:p>
    <w:p w:rsidR="00C65EC2" w:rsidRDefault="00C65EC2" w:rsidP="00842FBC">
      <w:pPr>
        <w:tabs>
          <w:tab w:val="right" w:leader="dot" w:pos="8640"/>
        </w:tabs>
        <w:rPr>
          <w:rFonts w:ascii="Times New Roman" w:hAnsi="Times New Roman" w:cs="Times New Roman"/>
          <w:b/>
          <w:color w:val="auto"/>
          <w:sz w:val="28"/>
          <w:szCs w:val="28"/>
          <w:lang w:val="en-US"/>
        </w:rPr>
      </w:pPr>
      <w:r>
        <w:rPr>
          <w:rFonts w:ascii="Times New Roman" w:hAnsi="Times New Roman" w:cs="Times New Roman"/>
          <w:b/>
          <w:color w:val="auto"/>
          <w:sz w:val="28"/>
          <w:szCs w:val="28"/>
        </w:rPr>
        <w:t>NGHỊ Q</w:t>
      </w:r>
      <w:r>
        <w:rPr>
          <w:rFonts w:ascii="Times New Roman" w:hAnsi="Times New Roman" w:cs="Times New Roman"/>
          <w:b/>
          <w:color w:val="auto"/>
          <w:sz w:val="28"/>
          <w:szCs w:val="28"/>
          <w:lang w:val="en-US"/>
        </w:rPr>
        <w:t>UYẾ</w:t>
      </w:r>
      <w:r>
        <w:rPr>
          <w:rFonts w:ascii="Times New Roman" w:hAnsi="Times New Roman" w:cs="Times New Roman"/>
          <w:b/>
          <w:color w:val="auto"/>
          <w:sz w:val="28"/>
          <w:szCs w:val="28"/>
        </w:rPr>
        <w:t>T</w:t>
      </w:r>
    </w:p>
    <w:p w:rsidR="009B50C6" w:rsidRDefault="00C65EC2" w:rsidP="00842FBC">
      <w:pPr>
        <w:pStyle w:val="Heading3"/>
        <w:rPr>
          <w:szCs w:val="28"/>
          <w:lang w:val="sv-SE"/>
        </w:rPr>
      </w:pPr>
      <w:r>
        <w:rPr>
          <w:szCs w:val="28"/>
          <w:lang w:val="sv-SE"/>
        </w:rPr>
        <w:t>Quy định các nội dung, mức chi và</w:t>
      </w:r>
      <w:r w:rsidR="009B50C6">
        <w:rPr>
          <w:szCs w:val="28"/>
          <w:lang w:val="sv-SE"/>
        </w:rPr>
        <w:t xml:space="preserve"> chế độ miễn giảm,</w:t>
      </w:r>
      <w:r>
        <w:rPr>
          <w:szCs w:val="28"/>
          <w:lang w:val="sv-SE"/>
        </w:rPr>
        <w:t xml:space="preserve"> hỗ trợ </w:t>
      </w:r>
    </w:p>
    <w:p w:rsidR="009B50C6" w:rsidRDefault="00C65EC2" w:rsidP="00842FBC">
      <w:pPr>
        <w:pStyle w:val="Heading3"/>
        <w:rPr>
          <w:szCs w:val="28"/>
          <w:lang w:val="sv-SE"/>
        </w:rPr>
      </w:pPr>
      <w:r>
        <w:rPr>
          <w:szCs w:val="28"/>
          <w:lang w:val="sv-SE"/>
        </w:rPr>
        <w:t xml:space="preserve">công tác cai nghiện ma túy, quản lý sau cai nghiện </w:t>
      </w:r>
    </w:p>
    <w:p w:rsidR="00C65EC2" w:rsidRDefault="00C65EC2" w:rsidP="00842FBC">
      <w:pPr>
        <w:pStyle w:val="Heading3"/>
        <w:rPr>
          <w:b w:val="0"/>
          <w:szCs w:val="28"/>
        </w:rPr>
      </w:pPr>
      <w:r>
        <w:rPr>
          <w:szCs w:val="28"/>
        </w:rPr>
        <w:t>trên địa bàn thành phố Đà Nẵng</w:t>
      </w:r>
    </w:p>
    <w:p w:rsidR="00C65EC2" w:rsidRDefault="00E86AE3" w:rsidP="00842FBC">
      <w:pPr>
        <w:tabs>
          <w:tab w:val="right" w:leader="dot" w:pos="8640"/>
        </w:tabs>
        <w:spacing w:beforeLines="60" w:before="144" w:afterLines="60" w:after="144"/>
        <w:rPr>
          <w:rFonts w:ascii="Times New Roman" w:hAnsi="Times New Roman" w:cs="Times New Roman"/>
          <w:b/>
          <w:color w:val="auto"/>
          <w:sz w:val="28"/>
          <w:szCs w:val="28"/>
          <w:lang w:val="en-US"/>
        </w:rPr>
      </w:pPr>
      <w:r>
        <w:rPr>
          <w:rFonts w:ascii="Times New Roman" w:hAnsi="Times New Roman" w:cs="Times New Roman"/>
          <w:b/>
          <w:noProof/>
          <w:color w:val="auto"/>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2234260</wp:posOffset>
                </wp:positionH>
                <wp:positionV relativeFrom="paragraph">
                  <wp:posOffset>52070</wp:posOffset>
                </wp:positionV>
                <wp:extent cx="1784909"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17849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5.95pt,4.1pt" to="31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" strokecolor="black [3040]"/>
            </w:pict>
          </mc:Fallback>
        </mc:AlternateContent>
      </w:r>
    </w:p>
    <w:p w:rsidR="00C65EC2" w:rsidRDefault="00C65EC2" w:rsidP="00C65EC2">
      <w:pPr>
        <w:tabs>
          <w:tab w:val="right" w:leader="dot" w:pos="8640"/>
        </w:tabs>
        <w:spacing w:beforeLines="60" w:before="144" w:afterLines="60" w:after="144" w:line="264" w:lineRule="auto"/>
        <w:rPr>
          <w:rFonts w:ascii="Times New Roman" w:hAnsi="Times New Roman" w:cs="Times New Roman"/>
          <w:b/>
          <w:color w:val="auto"/>
          <w:sz w:val="28"/>
          <w:szCs w:val="28"/>
          <w:lang w:val="en-US"/>
        </w:rPr>
      </w:pPr>
      <w:r>
        <w:rPr>
          <w:rFonts w:ascii="Times New Roman" w:hAnsi="Times New Roman" w:cs="Times New Roman"/>
          <w:b/>
          <w:color w:val="auto"/>
          <w:sz w:val="28"/>
          <w:szCs w:val="28"/>
        </w:rPr>
        <w:t>HỘI ĐỒNG NHÂN DÂN THÀNH PHỐ</w:t>
      </w:r>
      <w:r>
        <w:rPr>
          <w:rFonts w:ascii="Times New Roman" w:hAnsi="Times New Roman" w:cs="Times New Roman"/>
          <w:b/>
          <w:color w:val="auto"/>
          <w:sz w:val="28"/>
          <w:szCs w:val="28"/>
          <w:lang w:val="en-US"/>
        </w:rPr>
        <w:t xml:space="preserve"> ĐÀ NẴNG</w:t>
      </w:r>
      <w:r>
        <w:rPr>
          <w:rFonts w:ascii="Times New Roman" w:hAnsi="Times New Roman" w:cs="Times New Roman"/>
          <w:b/>
          <w:color w:val="auto"/>
          <w:sz w:val="28"/>
          <w:szCs w:val="28"/>
          <w:lang w:val="en-US"/>
        </w:rPr>
        <w:br/>
      </w:r>
      <w:r>
        <w:rPr>
          <w:rFonts w:ascii="Times New Roman" w:hAnsi="Times New Roman" w:cs="Times New Roman"/>
          <w:b/>
          <w:color w:val="auto"/>
          <w:sz w:val="28"/>
          <w:szCs w:val="28"/>
        </w:rPr>
        <w:t>KHÓA</w:t>
      </w:r>
      <w:r>
        <w:rPr>
          <w:rFonts w:ascii="Times New Roman" w:hAnsi="Times New Roman" w:cs="Times New Roman"/>
          <w:b/>
          <w:color w:val="auto"/>
          <w:sz w:val="28"/>
          <w:szCs w:val="28"/>
          <w:lang w:val="en-US"/>
        </w:rPr>
        <w:t xml:space="preserve"> IX,  </w:t>
      </w:r>
      <w:r>
        <w:rPr>
          <w:rFonts w:ascii="Times New Roman" w:hAnsi="Times New Roman" w:cs="Times New Roman"/>
          <w:b/>
          <w:color w:val="auto"/>
          <w:sz w:val="28"/>
          <w:szCs w:val="28"/>
        </w:rPr>
        <w:t xml:space="preserve">KỲ HỌP </w:t>
      </w:r>
      <w:r w:rsidR="00C8706B">
        <w:rPr>
          <w:rFonts w:ascii="Times New Roman" w:hAnsi="Times New Roman" w:cs="Times New Roman"/>
          <w:b/>
          <w:color w:val="auto"/>
          <w:sz w:val="28"/>
          <w:szCs w:val="28"/>
          <w:lang w:val="en-US"/>
        </w:rPr>
        <w:t>THỨ 9 (NHIỆM KỲ 2016</w:t>
      </w:r>
      <w:r w:rsidR="001D3941">
        <w:rPr>
          <w:rFonts w:ascii="Times New Roman" w:hAnsi="Times New Roman" w:cs="Times New Roman"/>
          <w:b/>
          <w:color w:val="auto"/>
          <w:sz w:val="28"/>
          <w:szCs w:val="28"/>
          <w:lang w:val="en-US"/>
        </w:rPr>
        <w:t xml:space="preserve"> </w:t>
      </w:r>
      <w:r w:rsidR="00C8706B">
        <w:rPr>
          <w:rFonts w:ascii="Times New Roman" w:hAnsi="Times New Roman" w:cs="Times New Roman"/>
          <w:b/>
          <w:color w:val="auto"/>
          <w:sz w:val="28"/>
          <w:szCs w:val="28"/>
          <w:lang w:val="en-US"/>
        </w:rPr>
        <w:t>-</w:t>
      </w:r>
      <w:r w:rsidR="001D3941">
        <w:rPr>
          <w:rFonts w:ascii="Times New Roman" w:hAnsi="Times New Roman" w:cs="Times New Roman"/>
          <w:b/>
          <w:color w:val="auto"/>
          <w:sz w:val="28"/>
          <w:szCs w:val="28"/>
          <w:lang w:val="en-US"/>
        </w:rPr>
        <w:t xml:space="preserve"> </w:t>
      </w:r>
      <w:r w:rsidR="00C8706B">
        <w:rPr>
          <w:rFonts w:ascii="Times New Roman" w:hAnsi="Times New Roman" w:cs="Times New Roman"/>
          <w:b/>
          <w:color w:val="auto"/>
          <w:sz w:val="28"/>
          <w:szCs w:val="28"/>
          <w:lang w:val="en-US"/>
        </w:rPr>
        <w:t>2021)</w:t>
      </w:r>
    </w:p>
    <w:p w:rsidR="00C65EC2" w:rsidRPr="00F02362" w:rsidRDefault="00C65EC2" w:rsidP="00C65EC2">
      <w:pPr>
        <w:tabs>
          <w:tab w:val="right" w:leader="dot" w:pos="8640"/>
        </w:tabs>
        <w:spacing w:before="120" w:after="120"/>
        <w:ind w:firstLine="709"/>
        <w:jc w:val="both"/>
        <w:rPr>
          <w:rFonts w:ascii="Times New Roman" w:hAnsi="Times New Roman" w:cs="Times New Roman"/>
          <w:i/>
          <w:color w:val="auto"/>
          <w:sz w:val="28"/>
          <w:szCs w:val="28"/>
          <w:lang w:val="en-US"/>
        </w:rPr>
      </w:pPr>
      <w:r w:rsidRPr="00F02362">
        <w:rPr>
          <w:rFonts w:ascii="Times New Roman" w:hAnsi="Times New Roman" w:cs="Times New Roman"/>
          <w:i/>
          <w:color w:val="auto"/>
          <w:sz w:val="28"/>
          <w:szCs w:val="28"/>
        </w:rPr>
        <w:t>Căn cứ Luật tổ chức ch</w:t>
      </w:r>
      <w:r w:rsidRPr="00F02362">
        <w:rPr>
          <w:rFonts w:ascii="Times New Roman" w:hAnsi="Times New Roman" w:cs="Times New Roman"/>
          <w:i/>
          <w:color w:val="auto"/>
          <w:sz w:val="28"/>
          <w:szCs w:val="28"/>
          <w:lang w:val="en-US"/>
        </w:rPr>
        <w:t>í</w:t>
      </w:r>
      <w:r w:rsidRPr="00F02362">
        <w:rPr>
          <w:rFonts w:ascii="Times New Roman" w:hAnsi="Times New Roman" w:cs="Times New Roman"/>
          <w:i/>
          <w:color w:val="auto"/>
          <w:sz w:val="28"/>
          <w:szCs w:val="28"/>
        </w:rPr>
        <w:t>nh quyền địa phương ngày</w:t>
      </w:r>
      <w:r w:rsidR="009B50C6" w:rsidRPr="00F02362">
        <w:rPr>
          <w:rFonts w:ascii="Times New Roman" w:hAnsi="Times New Roman" w:cs="Times New Roman"/>
          <w:i/>
          <w:color w:val="auto"/>
          <w:sz w:val="28"/>
          <w:szCs w:val="28"/>
          <w:lang w:val="en-US"/>
        </w:rPr>
        <w:t xml:space="preserve"> </w:t>
      </w:r>
      <w:r w:rsidRPr="00F02362">
        <w:rPr>
          <w:rFonts w:ascii="Times New Roman" w:hAnsi="Times New Roman" w:cs="Times New Roman"/>
          <w:i/>
          <w:color w:val="auto"/>
          <w:sz w:val="28"/>
          <w:szCs w:val="28"/>
          <w:lang w:val="en-US"/>
        </w:rPr>
        <w:t>19</w:t>
      </w:r>
      <w:r w:rsidRPr="00F02362">
        <w:rPr>
          <w:rFonts w:ascii="Times New Roman" w:hAnsi="Times New Roman" w:cs="Times New Roman"/>
          <w:i/>
          <w:color w:val="auto"/>
          <w:sz w:val="28"/>
          <w:szCs w:val="28"/>
        </w:rPr>
        <w:t xml:space="preserve"> tháng </w:t>
      </w:r>
      <w:r w:rsidRPr="00F02362">
        <w:rPr>
          <w:rFonts w:ascii="Times New Roman" w:hAnsi="Times New Roman" w:cs="Times New Roman"/>
          <w:i/>
          <w:color w:val="auto"/>
          <w:sz w:val="28"/>
          <w:szCs w:val="28"/>
          <w:lang w:val="en-US"/>
        </w:rPr>
        <w:t>5</w:t>
      </w:r>
      <w:r w:rsidRPr="00F02362">
        <w:rPr>
          <w:rFonts w:ascii="Times New Roman" w:hAnsi="Times New Roman" w:cs="Times New Roman"/>
          <w:i/>
          <w:color w:val="auto"/>
          <w:sz w:val="28"/>
          <w:szCs w:val="28"/>
        </w:rPr>
        <w:t xml:space="preserve"> năm</w:t>
      </w:r>
      <w:r w:rsidRPr="00F02362">
        <w:rPr>
          <w:rFonts w:ascii="Times New Roman" w:hAnsi="Times New Roman" w:cs="Times New Roman"/>
          <w:i/>
          <w:color w:val="auto"/>
          <w:sz w:val="28"/>
          <w:szCs w:val="28"/>
          <w:lang w:val="en-US"/>
        </w:rPr>
        <w:t xml:space="preserve"> 2015;</w:t>
      </w:r>
    </w:p>
    <w:p w:rsidR="00C65EC2" w:rsidRPr="00F02362" w:rsidRDefault="00C65EC2" w:rsidP="00E52398">
      <w:pPr>
        <w:spacing w:before="120" w:after="120"/>
        <w:ind w:firstLine="709"/>
        <w:jc w:val="both"/>
        <w:rPr>
          <w:rFonts w:ascii="Times New Roman" w:hAnsi="Times New Roman" w:cs="Times New Roman"/>
          <w:i/>
          <w:color w:val="auto"/>
          <w:sz w:val="28"/>
          <w:szCs w:val="28"/>
          <w:lang w:val="en-US"/>
        </w:rPr>
      </w:pPr>
      <w:r w:rsidRPr="00F02362">
        <w:rPr>
          <w:rFonts w:ascii="Times New Roman" w:hAnsi="Times New Roman" w:cs="Times New Roman"/>
          <w:i/>
          <w:color w:val="auto"/>
          <w:sz w:val="28"/>
          <w:szCs w:val="28"/>
        </w:rPr>
        <w:t>Căn cứ</w:t>
      </w:r>
      <w:r w:rsidR="009B50C6" w:rsidRPr="00F02362">
        <w:rPr>
          <w:rFonts w:ascii="Times New Roman" w:hAnsi="Times New Roman" w:cs="Times New Roman"/>
          <w:i/>
          <w:color w:val="auto"/>
          <w:sz w:val="28"/>
          <w:szCs w:val="28"/>
          <w:lang w:val="en-US"/>
        </w:rPr>
        <w:t xml:space="preserve"> </w:t>
      </w:r>
      <w:r w:rsidRPr="00F02362">
        <w:rPr>
          <w:rFonts w:ascii="Times New Roman" w:hAnsi="Times New Roman" w:cs="Times New Roman"/>
          <w:i/>
          <w:color w:val="auto"/>
          <w:sz w:val="28"/>
          <w:szCs w:val="28"/>
          <w:lang w:val="en-US"/>
        </w:rPr>
        <w:t>Luật ban hành văn bản quy phạm pháp luậ</w:t>
      </w:r>
      <w:r w:rsidR="00E52398">
        <w:rPr>
          <w:rFonts w:ascii="Times New Roman" w:hAnsi="Times New Roman" w:cs="Times New Roman"/>
          <w:i/>
          <w:color w:val="auto"/>
          <w:sz w:val="28"/>
          <w:szCs w:val="28"/>
          <w:lang w:val="en-US"/>
        </w:rPr>
        <w:t>t năm 2015;</w:t>
      </w:r>
    </w:p>
    <w:p w:rsidR="00C65EC2" w:rsidRPr="00F02362" w:rsidRDefault="00C65EC2" w:rsidP="00C65EC2">
      <w:pPr>
        <w:tabs>
          <w:tab w:val="right" w:leader="dot" w:pos="7920"/>
        </w:tabs>
        <w:spacing w:before="120" w:after="120"/>
        <w:ind w:firstLine="709"/>
        <w:jc w:val="both"/>
        <w:rPr>
          <w:rFonts w:ascii="Times New Roman" w:hAnsi="Times New Roman" w:cs="Times New Roman"/>
          <w:i/>
          <w:color w:val="auto"/>
          <w:sz w:val="28"/>
          <w:szCs w:val="28"/>
          <w:lang w:val="en-US"/>
        </w:rPr>
      </w:pPr>
      <w:r w:rsidRPr="00F02362">
        <w:rPr>
          <w:rFonts w:ascii="Times New Roman" w:hAnsi="Times New Roman" w:cs="Times New Roman"/>
          <w:i/>
          <w:color w:val="auto"/>
          <w:sz w:val="28"/>
          <w:szCs w:val="28"/>
        </w:rPr>
        <w:t xml:space="preserve">Căn cứ </w:t>
      </w:r>
      <w:r w:rsidRPr="00F02362">
        <w:rPr>
          <w:rFonts w:ascii="Times New Roman" w:hAnsi="Times New Roman" w:cs="Times New Roman"/>
          <w:i/>
          <w:color w:val="auto"/>
          <w:sz w:val="28"/>
          <w:szCs w:val="28"/>
          <w:lang w:val="en-US"/>
        </w:rPr>
        <w:t>Luật ngân sách nhà nước năm 2015;</w:t>
      </w:r>
    </w:p>
    <w:p w:rsidR="00C65EC2" w:rsidRPr="00F02362" w:rsidRDefault="00C65EC2" w:rsidP="00064910">
      <w:pPr>
        <w:spacing w:before="120" w:after="120"/>
        <w:ind w:firstLine="709"/>
        <w:jc w:val="both"/>
        <w:rPr>
          <w:rFonts w:ascii="Times New Roman" w:hAnsi="Times New Roman" w:cs="Times New Roman"/>
          <w:i/>
          <w:color w:val="auto"/>
          <w:sz w:val="28"/>
          <w:szCs w:val="28"/>
          <w:lang w:val="en-US"/>
        </w:rPr>
      </w:pPr>
      <w:r w:rsidRPr="00F02362">
        <w:rPr>
          <w:rFonts w:ascii="Times New Roman" w:hAnsi="Times New Roman" w:cs="Times New Roman"/>
          <w:i/>
          <w:color w:val="auto"/>
          <w:sz w:val="28"/>
          <w:szCs w:val="28"/>
        </w:rPr>
        <w:t xml:space="preserve">Căn cứ Nghị định </w:t>
      </w:r>
      <w:r w:rsidR="00C8706B">
        <w:rPr>
          <w:rFonts w:ascii="Times New Roman" w:hAnsi="Times New Roman" w:cs="Times New Roman"/>
          <w:i/>
          <w:color w:val="auto"/>
          <w:sz w:val="28"/>
          <w:szCs w:val="28"/>
          <w:lang w:val="en-US"/>
        </w:rPr>
        <w:t xml:space="preserve">số </w:t>
      </w:r>
      <w:r w:rsidRPr="00F02362">
        <w:rPr>
          <w:rFonts w:ascii="Times New Roman" w:hAnsi="Times New Roman" w:cs="Times New Roman"/>
          <w:i/>
          <w:color w:val="auto"/>
          <w:sz w:val="28"/>
          <w:szCs w:val="28"/>
        </w:rPr>
        <w:t xml:space="preserve">136/2016/NĐ-CP </w:t>
      </w:r>
      <w:r w:rsidRPr="00F02362">
        <w:rPr>
          <w:rFonts w:ascii="Times New Roman" w:hAnsi="Times New Roman" w:cs="Times New Roman"/>
          <w:i/>
          <w:iCs/>
          <w:color w:val="auto"/>
          <w:sz w:val="28"/>
          <w:szCs w:val="28"/>
        </w:rPr>
        <w:t xml:space="preserve">ngày 09 tháng 9 năm 2016 </w:t>
      </w:r>
      <w:r w:rsidR="00694005">
        <w:rPr>
          <w:rFonts w:ascii="Times New Roman" w:hAnsi="Times New Roman" w:cs="Times New Roman"/>
          <w:i/>
          <w:color w:val="auto"/>
          <w:sz w:val="28"/>
          <w:szCs w:val="28"/>
          <w:lang w:val="en-US"/>
        </w:rPr>
        <w:t xml:space="preserve">của Chính phủ </w:t>
      </w:r>
      <w:r w:rsidRPr="00F02362">
        <w:rPr>
          <w:rFonts w:ascii="Times New Roman" w:hAnsi="Times New Roman" w:cs="Times New Roman"/>
          <w:i/>
          <w:color w:val="auto"/>
          <w:sz w:val="28"/>
          <w:szCs w:val="28"/>
        </w:rPr>
        <w:t>sửa đổi, bổ sung Nghị định số 221/2013/NĐ-CP ngày 30</w:t>
      </w:r>
      <w:r w:rsidRPr="00F02362">
        <w:rPr>
          <w:rFonts w:ascii="Times New Roman" w:hAnsi="Times New Roman" w:cs="Times New Roman"/>
          <w:i/>
          <w:color w:val="auto"/>
          <w:sz w:val="28"/>
          <w:szCs w:val="28"/>
          <w:lang w:val="en-US"/>
        </w:rPr>
        <w:t xml:space="preserve"> tháng </w:t>
      </w:r>
      <w:r w:rsidRPr="00F02362">
        <w:rPr>
          <w:rFonts w:ascii="Times New Roman" w:hAnsi="Times New Roman" w:cs="Times New Roman"/>
          <w:i/>
          <w:color w:val="auto"/>
          <w:sz w:val="28"/>
          <w:szCs w:val="28"/>
        </w:rPr>
        <w:t>12</w:t>
      </w:r>
      <w:r w:rsidRPr="00F02362">
        <w:rPr>
          <w:rFonts w:ascii="Times New Roman" w:hAnsi="Times New Roman" w:cs="Times New Roman"/>
          <w:i/>
          <w:color w:val="auto"/>
          <w:sz w:val="28"/>
          <w:szCs w:val="28"/>
          <w:lang w:val="en-US"/>
        </w:rPr>
        <w:t xml:space="preserve"> năm </w:t>
      </w:r>
      <w:r w:rsidRPr="00F02362">
        <w:rPr>
          <w:rFonts w:ascii="Times New Roman" w:hAnsi="Times New Roman" w:cs="Times New Roman"/>
          <w:i/>
          <w:color w:val="auto"/>
          <w:sz w:val="28"/>
          <w:szCs w:val="28"/>
        </w:rPr>
        <w:t xml:space="preserve">2013 </w:t>
      </w:r>
      <w:r w:rsidR="000D2162">
        <w:rPr>
          <w:rFonts w:ascii="Times New Roman" w:hAnsi="Times New Roman" w:cs="Times New Roman"/>
          <w:i/>
          <w:color w:val="auto"/>
          <w:sz w:val="28"/>
          <w:szCs w:val="28"/>
          <w:lang w:val="en-US"/>
        </w:rPr>
        <w:t xml:space="preserve">của Chính phủ </w:t>
      </w:r>
      <w:r w:rsidRPr="00F02362">
        <w:rPr>
          <w:rFonts w:ascii="Times New Roman" w:hAnsi="Times New Roman" w:cs="Times New Roman"/>
          <w:i/>
          <w:color w:val="auto"/>
          <w:sz w:val="28"/>
          <w:szCs w:val="28"/>
        </w:rPr>
        <w:t>quy định chế độ áp dụng biện pháp xử lý hành chính đưa vào cơ sở cai nghiện bắt buộc</w:t>
      </w:r>
      <w:r w:rsidRPr="00F02362">
        <w:rPr>
          <w:rFonts w:ascii="Times New Roman" w:hAnsi="Times New Roman" w:cs="Times New Roman"/>
          <w:i/>
          <w:color w:val="auto"/>
          <w:sz w:val="28"/>
          <w:szCs w:val="28"/>
          <w:lang w:val="en-US"/>
        </w:rPr>
        <w:t>;</w:t>
      </w:r>
    </w:p>
    <w:p w:rsidR="00C65EC2" w:rsidRPr="00F02362" w:rsidRDefault="00C65EC2" w:rsidP="00C65EC2">
      <w:pPr>
        <w:spacing w:before="120" w:after="120"/>
        <w:ind w:firstLine="709"/>
        <w:jc w:val="both"/>
        <w:rPr>
          <w:rFonts w:ascii="Times New Roman" w:hAnsi="Times New Roman" w:cs="Times New Roman"/>
          <w:i/>
          <w:color w:val="auto"/>
          <w:sz w:val="28"/>
          <w:szCs w:val="28"/>
          <w:lang w:val="en-US"/>
        </w:rPr>
      </w:pPr>
      <w:r w:rsidRPr="00F02362">
        <w:rPr>
          <w:rFonts w:ascii="Times New Roman" w:hAnsi="Times New Roman" w:cs="Times New Roman"/>
          <w:i/>
          <w:color w:val="auto"/>
          <w:sz w:val="28"/>
          <w:szCs w:val="28"/>
        </w:rPr>
        <w:t>Căn cứ</w:t>
      </w:r>
      <w:r w:rsidRPr="00F02362">
        <w:rPr>
          <w:rFonts w:ascii="Times New Roman" w:hAnsi="Times New Roman" w:cs="Times New Roman"/>
          <w:i/>
          <w:color w:val="auto"/>
          <w:sz w:val="28"/>
          <w:szCs w:val="28"/>
          <w:lang w:val="nb-NO"/>
        </w:rPr>
        <w:t xml:space="preserve"> Nghị định số</w:t>
      </w:r>
      <w:r w:rsidRPr="00F02362">
        <w:rPr>
          <w:rFonts w:ascii="Times New Roman" w:hAnsi="Times New Roman" w:cs="Times New Roman"/>
          <w:i/>
          <w:color w:val="auto"/>
          <w:sz w:val="28"/>
          <w:szCs w:val="28"/>
        </w:rPr>
        <w:t xml:space="preserve"> 34/2016/NĐ-CP</w:t>
      </w:r>
      <w:r w:rsidR="00C8706B">
        <w:rPr>
          <w:rFonts w:ascii="Times New Roman" w:hAnsi="Times New Roman" w:cs="Times New Roman"/>
          <w:i/>
          <w:color w:val="auto"/>
          <w:sz w:val="28"/>
          <w:szCs w:val="28"/>
          <w:lang w:val="en-US"/>
        </w:rPr>
        <w:t xml:space="preserve"> </w:t>
      </w:r>
      <w:r w:rsidRPr="00F02362">
        <w:rPr>
          <w:rFonts w:ascii="Times New Roman" w:hAnsi="Times New Roman" w:cs="Times New Roman"/>
          <w:i/>
          <w:color w:val="auto"/>
          <w:sz w:val="28"/>
          <w:szCs w:val="28"/>
        </w:rPr>
        <w:t xml:space="preserve">ngày </w:t>
      </w:r>
      <w:r w:rsidRPr="00F02362">
        <w:rPr>
          <w:rFonts w:ascii="Times New Roman" w:hAnsi="Times New Roman" w:cs="Times New Roman"/>
          <w:i/>
          <w:color w:val="auto"/>
          <w:sz w:val="28"/>
          <w:szCs w:val="28"/>
          <w:lang w:val="en-US"/>
        </w:rPr>
        <w:t>1</w:t>
      </w:r>
      <w:r w:rsidRPr="00F02362">
        <w:rPr>
          <w:rFonts w:ascii="Times New Roman" w:hAnsi="Times New Roman" w:cs="Times New Roman"/>
          <w:i/>
          <w:color w:val="auto"/>
          <w:sz w:val="28"/>
          <w:szCs w:val="28"/>
        </w:rPr>
        <w:t>4 tháng 5 năm 2016</w:t>
      </w:r>
      <w:r w:rsidR="00C8706B">
        <w:rPr>
          <w:rFonts w:ascii="Times New Roman" w:hAnsi="Times New Roman" w:cs="Times New Roman"/>
          <w:i/>
          <w:color w:val="auto"/>
          <w:sz w:val="28"/>
          <w:szCs w:val="28"/>
          <w:lang w:val="en-US"/>
        </w:rPr>
        <w:t xml:space="preserve"> </w:t>
      </w:r>
      <w:r w:rsidR="00694005">
        <w:rPr>
          <w:rFonts w:ascii="Times New Roman" w:hAnsi="Times New Roman" w:cs="Times New Roman"/>
          <w:i/>
          <w:color w:val="auto"/>
          <w:sz w:val="28"/>
          <w:szCs w:val="28"/>
          <w:lang w:val="en-US"/>
        </w:rPr>
        <w:t xml:space="preserve">của Chính phủ </w:t>
      </w:r>
      <w:r w:rsidR="00C8706B">
        <w:rPr>
          <w:rFonts w:ascii="Times New Roman" w:hAnsi="Times New Roman" w:cs="Times New Roman"/>
          <w:i/>
          <w:color w:val="auto"/>
          <w:sz w:val="28"/>
          <w:szCs w:val="28"/>
          <w:lang w:val="en-US"/>
        </w:rPr>
        <w:t>q</w:t>
      </w:r>
      <w:r w:rsidRPr="00F02362">
        <w:rPr>
          <w:rFonts w:ascii="Times New Roman" w:hAnsi="Times New Roman" w:cs="Times New Roman"/>
          <w:i/>
          <w:color w:val="auto"/>
          <w:sz w:val="28"/>
          <w:szCs w:val="28"/>
          <w:lang w:val="en-US"/>
        </w:rPr>
        <w:t>uy định chi tiết một số điều và biện pháp thi hành Luật ban hành văn bản quy phạm pháp luật;</w:t>
      </w:r>
    </w:p>
    <w:p w:rsidR="00C65EC2" w:rsidRPr="00F02362" w:rsidRDefault="00C65EC2" w:rsidP="00064910">
      <w:pPr>
        <w:spacing w:before="120" w:after="120"/>
        <w:ind w:firstLine="709"/>
        <w:jc w:val="both"/>
        <w:rPr>
          <w:rFonts w:ascii="Times New Roman" w:hAnsi="Times New Roman" w:cs="Times New Roman"/>
          <w:i/>
          <w:color w:val="auto"/>
          <w:sz w:val="28"/>
          <w:szCs w:val="28"/>
          <w:lang w:val="nb-NO"/>
        </w:rPr>
      </w:pPr>
      <w:r w:rsidRPr="00F02362">
        <w:rPr>
          <w:rFonts w:ascii="Times New Roman" w:hAnsi="Times New Roman" w:cs="Times New Roman"/>
          <w:i/>
          <w:color w:val="auto"/>
          <w:sz w:val="28"/>
          <w:szCs w:val="28"/>
        </w:rPr>
        <w:t>Căn cứ</w:t>
      </w:r>
      <w:r w:rsidRPr="00F02362">
        <w:rPr>
          <w:rFonts w:ascii="Times New Roman" w:hAnsi="Times New Roman" w:cs="Times New Roman"/>
          <w:i/>
          <w:color w:val="auto"/>
          <w:sz w:val="28"/>
          <w:szCs w:val="28"/>
          <w:lang w:val="nb-NO"/>
        </w:rPr>
        <w:t xml:space="preserve"> Nghị định số 163/2016/NĐ-CP ngày 21 tháng 12 năm 2016 </w:t>
      </w:r>
      <w:r w:rsidR="00694005">
        <w:rPr>
          <w:rFonts w:ascii="Times New Roman" w:hAnsi="Times New Roman" w:cs="Times New Roman"/>
          <w:i/>
          <w:color w:val="auto"/>
          <w:sz w:val="28"/>
          <w:szCs w:val="28"/>
          <w:lang w:val="en-US"/>
        </w:rPr>
        <w:t>của Chính phủ</w:t>
      </w:r>
      <w:r w:rsidR="00694005" w:rsidRPr="00F02362">
        <w:rPr>
          <w:rFonts w:ascii="Times New Roman" w:hAnsi="Times New Roman" w:cs="Times New Roman"/>
          <w:i/>
          <w:color w:val="auto"/>
          <w:sz w:val="28"/>
          <w:szCs w:val="28"/>
          <w:lang w:val="nb-NO"/>
        </w:rPr>
        <w:t xml:space="preserve"> </w:t>
      </w:r>
      <w:r w:rsidRPr="00F02362">
        <w:rPr>
          <w:rFonts w:ascii="Times New Roman" w:hAnsi="Times New Roman" w:cs="Times New Roman"/>
          <w:i/>
          <w:color w:val="auto"/>
          <w:sz w:val="28"/>
          <w:szCs w:val="28"/>
          <w:lang w:val="nb-NO"/>
        </w:rPr>
        <w:t>quy định chi tiết thi hành một số điều của Luật ngân sách nhà nước;</w:t>
      </w:r>
    </w:p>
    <w:p w:rsidR="00C65EC2" w:rsidRPr="00F02362" w:rsidRDefault="00C65EC2" w:rsidP="00C65EC2">
      <w:pPr>
        <w:tabs>
          <w:tab w:val="right" w:leader="dot" w:pos="7920"/>
        </w:tabs>
        <w:spacing w:before="120" w:after="120"/>
        <w:ind w:firstLine="709"/>
        <w:jc w:val="both"/>
        <w:rPr>
          <w:rFonts w:ascii="Times New Roman" w:hAnsi="Times New Roman" w:cs="Times New Roman"/>
          <w:i/>
          <w:color w:val="auto"/>
          <w:sz w:val="28"/>
          <w:szCs w:val="28"/>
          <w:shd w:val="clear" w:color="auto" w:fill="FFFFFF"/>
          <w:lang w:val="en-US"/>
        </w:rPr>
      </w:pPr>
      <w:r w:rsidRPr="00F02362">
        <w:rPr>
          <w:rFonts w:ascii="Times New Roman" w:hAnsi="Times New Roman" w:cs="Times New Roman"/>
          <w:i/>
          <w:color w:val="auto"/>
          <w:sz w:val="28"/>
          <w:szCs w:val="28"/>
        </w:rPr>
        <w:t>Căn cứ</w:t>
      </w:r>
      <w:r w:rsidR="00064910" w:rsidRPr="00F02362">
        <w:rPr>
          <w:rFonts w:ascii="Times New Roman" w:hAnsi="Times New Roman" w:cs="Times New Roman"/>
          <w:i/>
          <w:color w:val="auto"/>
          <w:sz w:val="28"/>
          <w:szCs w:val="28"/>
          <w:lang w:val="en-US"/>
        </w:rPr>
        <w:t xml:space="preserve"> </w:t>
      </w:r>
      <w:r w:rsidRPr="00F02362">
        <w:rPr>
          <w:rFonts w:ascii="Times New Roman" w:hAnsi="Times New Roman" w:cs="Times New Roman"/>
          <w:i/>
          <w:color w:val="auto"/>
          <w:sz w:val="28"/>
          <w:szCs w:val="28"/>
          <w:lang w:val="en-US"/>
        </w:rPr>
        <w:t xml:space="preserve">Nghị định số 80/2018/NĐ-CP ngày 17 tháng 5 năm 2018 </w:t>
      </w:r>
      <w:r w:rsidR="00694005">
        <w:rPr>
          <w:rFonts w:ascii="Times New Roman" w:hAnsi="Times New Roman" w:cs="Times New Roman"/>
          <w:i/>
          <w:color w:val="auto"/>
          <w:sz w:val="28"/>
          <w:szCs w:val="28"/>
          <w:lang w:val="en-US"/>
        </w:rPr>
        <w:t>của Chính phủ</w:t>
      </w:r>
      <w:r w:rsidR="00694005" w:rsidRPr="00F02362">
        <w:rPr>
          <w:rFonts w:ascii="Times New Roman" w:hAnsi="Times New Roman" w:cs="Times New Roman"/>
          <w:i/>
          <w:color w:val="auto"/>
          <w:sz w:val="28"/>
          <w:szCs w:val="28"/>
          <w:lang w:val="en-US"/>
        </w:rPr>
        <w:t xml:space="preserve"> </w:t>
      </w:r>
      <w:r w:rsidRPr="00F02362">
        <w:rPr>
          <w:rFonts w:ascii="Times New Roman" w:hAnsi="Times New Roman" w:cs="Times New Roman"/>
          <w:i/>
          <w:color w:val="auto"/>
          <w:sz w:val="28"/>
          <w:szCs w:val="28"/>
          <w:lang w:val="en-US"/>
        </w:rPr>
        <w:t>sửa đổi, bổ sung một số điều của Nghị định số 147/2003/NĐ-CP ngày 02 tháng 12 năm 2003 của Chính phủ quy định điều kiện, thủ tục cấp giấy phép và quản lý hoạt động của cơ sở cai nghiện ma túy tự nguyện; Nghị định</w:t>
      </w:r>
      <w:r w:rsidR="00064910" w:rsidRPr="00F02362">
        <w:rPr>
          <w:rFonts w:ascii="Times New Roman" w:hAnsi="Times New Roman" w:cs="Times New Roman"/>
          <w:i/>
          <w:color w:val="auto"/>
          <w:sz w:val="28"/>
          <w:szCs w:val="28"/>
          <w:lang w:val="en-US"/>
        </w:rPr>
        <w:t xml:space="preserve"> </w:t>
      </w:r>
      <w:r w:rsidRPr="00F02362">
        <w:rPr>
          <w:rFonts w:ascii="Times New Roman" w:hAnsi="Times New Roman" w:cs="Times New Roman"/>
          <w:i/>
          <w:color w:val="auto"/>
          <w:sz w:val="28"/>
          <w:szCs w:val="28"/>
        </w:rPr>
        <w:t>số 135/2004/NĐ-CP ngày 10</w:t>
      </w:r>
      <w:r w:rsidR="002167D0">
        <w:rPr>
          <w:rFonts w:ascii="Times New Roman" w:hAnsi="Times New Roman" w:cs="Times New Roman"/>
          <w:i/>
          <w:color w:val="auto"/>
          <w:sz w:val="28"/>
          <w:szCs w:val="28"/>
          <w:lang w:val="en-US"/>
        </w:rPr>
        <w:t xml:space="preserve"> tháng </w:t>
      </w:r>
      <w:r w:rsidRPr="00F02362">
        <w:rPr>
          <w:rFonts w:ascii="Times New Roman" w:hAnsi="Times New Roman" w:cs="Times New Roman"/>
          <w:i/>
          <w:color w:val="auto"/>
          <w:sz w:val="28"/>
          <w:szCs w:val="28"/>
        </w:rPr>
        <w:t>6</w:t>
      </w:r>
      <w:r w:rsidR="002167D0">
        <w:rPr>
          <w:rFonts w:ascii="Times New Roman" w:hAnsi="Times New Roman" w:cs="Times New Roman"/>
          <w:i/>
          <w:color w:val="auto"/>
          <w:sz w:val="28"/>
          <w:szCs w:val="28"/>
          <w:lang w:val="en-US"/>
        </w:rPr>
        <w:t xml:space="preserve"> năm </w:t>
      </w:r>
      <w:r w:rsidRPr="00F02362">
        <w:rPr>
          <w:rFonts w:ascii="Times New Roman" w:hAnsi="Times New Roman" w:cs="Times New Roman"/>
          <w:i/>
          <w:color w:val="auto"/>
          <w:sz w:val="28"/>
          <w:szCs w:val="28"/>
        </w:rPr>
        <w:t xml:space="preserve">2004 </w:t>
      </w:r>
      <w:r w:rsidR="002167D0">
        <w:rPr>
          <w:rFonts w:ascii="Times New Roman" w:hAnsi="Times New Roman" w:cs="Times New Roman"/>
          <w:i/>
          <w:color w:val="auto"/>
          <w:sz w:val="28"/>
          <w:szCs w:val="28"/>
          <w:lang w:val="en-US"/>
        </w:rPr>
        <w:t>của Chính phủ</w:t>
      </w:r>
      <w:r w:rsidR="002167D0" w:rsidRPr="00F02362">
        <w:rPr>
          <w:rFonts w:ascii="Times New Roman" w:hAnsi="Times New Roman" w:cs="Times New Roman"/>
          <w:i/>
          <w:color w:val="auto"/>
          <w:sz w:val="28"/>
          <w:szCs w:val="28"/>
        </w:rPr>
        <w:t xml:space="preserve"> </w:t>
      </w:r>
      <w:r w:rsidRPr="00F02362">
        <w:rPr>
          <w:rFonts w:ascii="Times New Roman" w:hAnsi="Times New Roman" w:cs="Times New Roman"/>
          <w:i/>
          <w:color w:val="auto"/>
          <w:sz w:val="28"/>
          <w:szCs w:val="28"/>
        </w:rPr>
        <w:t>quy định về chế độ áp dụng biện pháp đưa vào cơ sở chữa bệnh, tổ chức hoạt động của cơ sở chữa bệnh theo Pháp lệnh Xử lý vi phạm hành chính và chế độ đối với người chưa thành niên, người tự nguyện vào cơ sở chữa bệnh</w:t>
      </w:r>
      <w:r w:rsidRPr="00F02362">
        <w:rPr>
          <w:rFonts w:ascii="Times New Roman" w:hAnsi="Times New Roman" w:cs="Times New Roman"/>
          <w:i/>
          <w:color w:val="auto"/>
          <w:sz w:val="28"/>
          <w:szCs w:val="28"/>
          <w:lang w:val="en-US"/>
        </w:rPr>
        <w:t>;</w:t>
      </w:r>
    </w:p>
    <w:p w:rsidR="00C65EC2" w:rsidRPr="00F02362" w:rsidRDefault="00C65EC2" w:rsidP="00C65EC2">
      <w:pPr>
        <w:tabs>
          <w:tab w:val="right" w:leader="dot" w:pos="7920"/>
        </w:tabs>
        <w:spacing w:before="120" w:after="120"/>
        <w:ind w:firstLine="709"/>
        <w:jc w:val="both"/>
        <w:rPr>
          <w:rFonts w:ascii="Times New Roman" w:hAnsi="Times New Roman" w:cs="Times New Roman"/>
          <w:bCs/>
          <w:i/>
          <w:color w:val="auto"/>
          <w:sz w:val="28"/>
          <w:szCs w:val="28"/>
          <w:lang w:val="en-US"/>
        </w:rPr>
      </w:pPr>
      <w:r w:rsidRPr="00F02362">
        <w:rPr>
          <w:rFonts w:ascii="Times New Roman" w:hAnsi="Times New Roman" w:cs="Times New Roman"/>
          <w:bCs/>
          <w:i/>
          <w:color w:val="auto"/>
          <w:sz w:val="28"/>
          <w:szCs w:val="28"/>
          <w:lang w:val="en-US"/>
        </w:rPr>
        <w:t xml:space="preserve">Căn cứ </w:t>
      </w:r>
      <w:r w:rsidRPr="00F02362">
        <w:rPr>
          <w:rFonts w:ascii="Times New Roman" w:hAnsi="Times New Roman" w:cs="Times New Roman"/>
          <w:bCs/>
          <w:i/>
          <w:color w:val="auto"/>
          <w:sz w:val="28"/>
          <w:szCs w:val="28"/>
        </w:rPr>
        <w:t>Thông tư số 193/TT-BTC ngày 12</w:t>
      </w:r>
      <w:r w:rsidR="004A2B2E">
        <w:rPr>
          <w:rFonts w:ascii="Times New Roman" w:hAnsi="Times New Roman" w:cs="Times New Roman"/>
          <w:bCs/>
          <w:i/>
          <w:color w:val="auto"/>
          <w:sz w:val="28"/>
          <w:szCs w:val="28"/>
          <w:lang w:val="en-US"/>
        </w:rPr>
        <w:t xml:space="preserve"> tháng </w:t>
      </w:r>
      <w:r w:rsidRPr="00F02362">
        <w:rPr>
          <w:rFonts w:ascii="Times New Roman" w:hAnsi="Times New Roman" w:cs="Times New Roman"/>
          <w:bCs/>
          <w:i/>
          <w:color w:val="auto"/>
          <w:sz w:val="28"/>
          <w:szCs w:val="28"/>
        </w:rPr>
        <w:t>12</w:t>
      </w:r>
      <w:r w:rsidR="004A2B2E">
        <w:rPr>
          <w:rFonts w:ascii="Times New Roman" w:hAnsi="Times New Roman" w:cs="Times New Roman"/>
          <w:bCs/>
          <w:i/>
          <w:color w:val="auto"/>
          <w:sz w:val="28"/>
          <w:szCs w:val="28"/>
          <w:lang w:val="en-US"/>
        </w:rPr>
        <w:t xml:space="preserve"> năm </w:t>
      </w:r>
      <w:r w:rsidRPr="00F02362">
        <w:rPr>
          <w:rFonts w:ascii="Times New Roman" w:hAnsi="Times New Roman" w:cs="Times New Roman"/>
          <w:bCs/>
          <w:i/>
          <w:color w:val="auto"/>
          <w:sz w:val="28"/>
          <w:szCs w:val="28"/>
        </w:rPr>
        <w:t>2014</w:t>
      </w:r>
      <w:r w:rsidR="00B62574">
        <w:rPr>
          <w:rFonts w:ascii="Times New Roman" w:hAnsi="Times New Roman" w:cs="Times New Roman"/>
          <w:bCs/>
          <w:i/>
          <w:color w:val="auto"/>
          <w:sz w:val="28"/>
          <w:szCs w:val="28"/>
          <w:lang w:val="en-US"/>
        </w:rPr>
        <w:t xml:space="preserve"> của Bộ trưởng Bộ Tài chính</w:t>
      </w:r>
      <w:r w:rsidRPr="00F02362">
        <w:rPr>
          <w:rFonts w:ascii="Times New Roman" w:hAnsi="Times New Roman" w:cs="Times New Roman"/>
          <w:bCs/>
          <w:i/>
          <w:color w:val="auto"/>
          <w:sz w:val="28"/>
          <w:szCs w:val="28"/>
        </w:rPr>
        <w:t xml:space="preserve"> quy định quản lý và sử dung kinh phí thực hiện chế độ áp dụng biện pháp xử lý hành chính giáo dục tại xã, phường, thị trấn</w:t>
      </w:r>
      <w:r w:rsidR="00756EBD">
        <w:rPr>
          <w:rFonts w:ascii="Times New Roman" w:hAnsi="Times New Roman" w:cs="Times New Roman"/>
          <w:bCs/>
          <w:i/>
          <w:color w:val="auto"/>
          <w:sz w:val="28"/>
          <w:szCs w:val="28"/>
          <w:lang w:val="en-US"/>
        </w:rPr>
        <w:t>;</w:t>
      </w:r>
    </w:p>
    <w:p w:rsidR="00C65EC2" w:rsidRPr="00F02362" w:rsidRDefault="00302732" w:rsidP="00C65EC2">
      <w:pPr>
        <w:ind w:firstLine="709"/>
        <w:jc w:val="both"/>
        <w:rPr>
          <w:rFonts w:ascii="Times New Roman" w:hAnsi="Times New Roman" w:cs="Times New Roman"/>
          <w:i/>
          <w:color w:val="auto"/>
          <w:sz w:val="28"/>
          <w:szCs w:val="28"/>
          <w:lang w:val="en-US"/>
        </w:rPr>
      </w:pPr>
      <w:r>
        <w:rPr>
          <w:rFonts w:ascii="Times New Roman" w:hAnsi="Times New Roman" w:cs="Times New Roman"/>
          <w:i/>
          <w:color w:val="auto"/>
          <w:sz w:val="28"/>
          <w:szCs w:val="28"/>
          <w:lang w:val="en-US"/>
        </w:rPr>
        <w:t xml:space="preserve">Căn cứ </w:t>
      </w:r>
      <w:r w:rsidR="00C65EC2" w:rsidRPr="00F02362">
        <w:rPr>
          <w:rFonts w:ascii="Times New Roman" w:hAnsi="Times New Roman" w:cs="Times New Roman"/>
          <w:i/>
          <w:color w:val="auto"/>
          <w:sz w:val="28"/>
          <w:szCs w:val="28"/>
          <w:lang w:val="en-US"/>
        </w:rPr>
        <w:t>Thông tư số</w:t>
      </w:r>
      <w:r w:rsidR="00EF3F5A" w:rsidRPr="00F02362">
        <w:rPr>
          <w:rFonts w:ascii="Times New Roman" w:hAnsi="Times New Roman" w:cs="Times New Roman"/>
          <w:i/>
          <w:color w:val="auto"/>
          <w:sz w:val="28"/>
          <w:szCs w:val="28"/>
          <w:lang w:val="en-US"/>
        </w:rPr>
        <w:t xml:space="preserve"> 15/2018/TT-BYT ngày 30</w:t>
      </w:r>
      <w:r w:rsidR="00C640AF">
        <w:rPr>
          <w:rFonts w:ascii="Times New Roman" w:hAnsi="Times New Roman" w:cs="Times New Roman"/>
          <w:i/>
          <w:color w:val="auto"/>
          <w:sz w:val="28"/>
          <w:szCs w:val="28"/>
          <w:lang w:val="en-US"/>
        </w:rPr>
        <w:t xml:space="preserve"> tháng </w:t>
      </w:r>
      <w:r w:rsidR="00EF3F5A" w:rsidRPr="00F02362">
        <w:rPr>
          <w:rFonts w:ascii="Times New Roman" w:hAnsi="Times New Roman" w:cs="Times New Roman"/>
          <w:i/>
          <w:color w:val="auto"/>
          <w:sz w:val="28"/>
          <w:szCs w:val="28"/>
          <w:lang w:val="en-US"/>
        </w:rPr>
        <w:t>5</w:t>
      </w:r>
      <w:r w:rsidR="00C640AF">
        <w:rPr>
          <w:rFonts w:ascii="Times New Roman" w:hAnsi="Times New Roman" w:cs="Times New Roman"/>
          <w:i/>
          <w:color w:val="auto"/>
          <w:sz w:val="28"/>
          <w:szCs w:val="28"/>
          <w:lang w:val="en-US"/>
        </w:rPr>
        <w:t xml:space="preserve"> năm </w:t>
      </w:r>
      <w:r w:rsidR="00EF3F5A" w:rsidRPr="00F02362">
        <w:rPr>
          <w:rFonts w:ascii="Times New Roman" w:hAnsi="Times New Roman" w:cs="Times New Roman"/>
          <w:i/>
          <w:color w:val="auto"/>
          <w:sz w:val="28"/>
          <w:szCs w:val="28"/>
          <w:lang w:val="en-US"/>
        </w:rPr>
        <w:t>2018</w:t>
      </w:r>
      <w:r w:rsidR="00C65EC2" w:rsidRPr="00F02362">
        <w:rPr>
          <w:rFonts w:ascii="Times New Roman" w:hAnsi="Times New Roman" w:cs="Times New Roman"/>
          <w:i/>
          <w:color w:val="auto"/>
          <w:sz w:val="28"/>
          <w:szCs w:val="28"/>
          <w:lang w:val="en-US"/>
        </w:rPr>
        <w:t xml:space="preserve"> </w:t>
      </w:r>
      <w:bookmarkStart w:id="1" w:name="loai_1_name"/>
      <w:r w:rsidR="00B62574">
        <w:rPr>
          <w:rFonts w:ascii="Times New Roman" w:hAnsi="Times New Roman" w:cs="Times New Roman"/>
          <w:bCs/>
          <w:i/>
          <w:color w:val="auto"/>
          <w:sz w:val="28"/>
          <w:szCs w:val="28"/>
          <w:lang w:val="en-US"/>
        </w:rPr>
        <w:t xml:space="preserve">của Bộ trưởng Bộ Y tế </w:t>
      </w:r>
      <w:r w:rsidR="00C65EC2" w:rsidRPr="00F02362">
        <w:rPr>
          <w:rFonts w:ascii="Times New Roman" w:hAnsi="Times New Roman" w:cs="Times New Roman"/>
          <w:i/>
          <w:color w:val="auto"/>
          <w:sz w:val="28"/>
          <w:szCs w:val="28"/>
          <w:lang w:val="en-US"/>
        </w:rPr>
        <w:t>quy định thống nhất giá dịch vụ khám bệnh, chữa bệnh bảo hiểm y tế giữa các bệnh viện cùng hạng trên toàn quố</w:t>
      </w:r>
      <w:bookmarkEnd w:id="1"/>
      <w:r w:rsidR="00C65EC2" w:rsidRPr="00F02362">
        <w:rPr>
          <w:rFonts w:ascii="Times New Roman" w:hAnsi="Times New Roman" w:cs="Times New Roman"/>
          <w:i/>
          <w:color w:val="auto"/>
          <w:sz w:val="28"/>
          <w:szCs w:val="28"/>
          <w:lang w:val="en-US"/>
        </w:rPr>
        <w:t>c và hướng dẫn áp dụng giá, thanh toán chi phí khám bệnh trong một số trường hợp</w:t>
      </w:r>
      <w:r w:rsidR="00756EBD">
        <w:rPr>
          <w:rFonts w:ascii="Times New Roman" w:hAnsi="Times New Roman" w:cs="Times New Roman"/>
          <w:i/>
          <w:color w:val="auto"/>
          <w:sz w:val="28"/>
          <w:szCs w:val="28"/>
          <w:lang w:val="en-US"/>
        </w:rPr>
        <w:t>;</w:t>
      </w:r>
    </w:p>
    <w:p w:rsidR="00C65EC2" w:rsidRPr="00F02362" w:rsidRDefault="00302732" w:rsidP="00C65EC2">
      <w:pPr>
        <w:spacing w:before="120" w:after="120"/>
        <w:ind w:firstLine="709"/>
        <w:jc w:val="both"/>
        <w:rPr>
          <w:rFonts w:ascii="Times New Roman" w:hAnsi="Times New Roman"/>
          <w:i/>
          <w:color w:val="auto"/>
          <w:sz w:val="28"/>
          <w:szCs w:val="28"/>
          <w:lang w:val="en-US"/>
        </w:rPr>
      </w:pPr>
      <w:r>
        <w:rPr>
          <w:rFonts w:ascii="Times New Roman" w:hAnsi="Times New Roman" w:cs="Times New Roman"/>
          <w:i/>
          <w:color w:val="auto"/>
          <w:sz w:val="28"/>
          <w:szCs w:val="28"/>
          <w:lang w:val="en-US"/>
        </w:rPr>
        <w:lastRenderedPageBreak/>
        <w:t xml:space="preserve">Căn cứ </w:t>
      </w:r>
      <w:r w:rsidR="00C65EC2" w:rsidRPr="00F02362">
        <w:rPr>
          <w:rFonts w:ascii="Times New Roman" w:hAnsi="Times New Roman" w:cs="Times New Roman"/>
          <w:i/>
          <w:color w:val="auto"/>
          <w:sz w:val="28"/>
          <w:szCs w:val="28"/>
          <w:lang w:val="en-US"/>
        </w:rPr>
        <w:t xml:space="preserve">Thông tư số 02/2017/TT-BYT ngày 15 tháng 3 năm 2017 </w:t>
      </w:r>
      <w:r w:rsidR="00B62574">
        <w:rPr>
          <w:rFonts w:ascii="Times New Roman" w:hAnsi="Times New Roman" w:cs="Times New Roman"/>
          <w:bCs/>
          <w:i/>
          <w:color w:val="auto"/>
          <w:sz w:val="28"/>
          <w:szCs w:val="28"/>
          <w:lang w:val="en-US"/>
        </w:rPr>
        <w:t xml:space="preserve">của Bộ trưởng Bộ Y tế </w:t>
      </w:r>
      <w:r w:rsidR="00C65EC2" w:rsidRPr="00F02362">
        <w:rPr>
          <w:rFonts w:ascii="Times New Roman" w:hAnsi="Times New Roman" w:cs="Times New Roman"/>
          <w:i/>
          <w:color w:val="auto"/>
          <w:sz w:val="28"/>
          <w:szCs w:val="28"/>
          <w:lang w:val="en-US"/>
        </w:rPr>
        <w:t>quy định mức mức tối đa khung giá dịch vụ khám bệnh, chữa bệnh không thuộc phạm vị thanh toán của quỹ bảo hiểm y tế trong các cơ sở khám chữa bệnh của nhà nước và hướng dẫn áp dụng giá, thanh toán chi phí khám bệnh, chữa bệnh trong một số trường hợp</w:t>
      </w:r>
      <w:r w:rsidR="00756EBD">
        <w:rPr>
          <w:rFonts w:ascii="Times New Roman" w:hAnsi="Times New Roman" w:cs="Times New Roman"/>
          <w:i/>
          <w:color w:val="auto"/>
          <w:sz w:val="28"/>
          <w:szCs w:val="28"/>
          <w:lang w:val="en-US"/>
        </w:rPr>
        <w:t>;</w:t>
      </w:r>
    </w:p>
    <w:p w:rsidR="00C65EC2" w:rsidRPr="00F02362" w:rsidRDefault="00C65EC2" w:rsidP="00C65EC2">
      <w:pPr>
        <w:tabs>
          <w:tab w:val="right" w:leader="dot" w:pos="7920"/>
        </w:tabs>
        <w:spacing w:before="120" w:after="120"/>
        <w:ind w:firstLine="709"/>
        <w:jc w:val="both"/>
        <w:rPr>
          <w:rFonts w:ascii="Times New Roman" w:hAnsi="Times New Roman" w:cs="Times New Roman"/>
          <w:i/>
          <w:color w:val="auto"/>
          <w:sz w:val="28"/>
          <w:szCs w:val="28"/>
          <w:shd w:val="clear" w:color="auto" w:fill="FFFFFF"/>
          <w:lang w:val="en-US"/>
        </w:rPr>
      </w:pPr>
      <w:r w:rsidRPr="00F02362">
        <w:rPr>
          <w:rFonts w:ascii="Times New Roman" w:hAnsi="Times New Roman" w:cs="Times New Roman"/>
          <w:i/>
          <w:color w:val="auto"/>
          <w:sz w:val="28"/>
          <w:szCs w:val="28"/>
        </w:rPr>
        <w:t>Căn cứ</w:t>
      </w:r>
      <w:r w:rsidRPr="00F02362">
        <w:rPr>
          <w:rFonts w:ascii="Times New Roman" w:hAnsi="Times New Roman" w:cs="Times New Roman"/>
          <w:i/>
          <w:color w:val="auto"/>
          <w:sz w:val="28"/>
          <w:szCs w:val="28"/>
          <w:shd w:val="clear" w:color="auto" w:fill="FFFFFF"/>
        </w:rPr>
        <w:t xml:space="preserve"> Thông tư số 117/2017/TT-BTC ngày 06</w:t>
      </w:r>
      <w:r w:rsidRPr="00F02362">
        <w:rPr>
          <w:rFonts w:ascii="Times New Roman" w:hAnsi="Times New Roman" w:cs="Times New Roman"/>
          <w:i/>
          <w:color w:val="auto"/>
          <w:sz w:val="28"/>
          <w:szCs w:val="28"/>
          <w:shd w:val="clear" w:color="auto" w:fill="FFFFFF"/>
          <w:lang w:val="en-US"/>
        </w:rPr>
        <w:t xml:space="preserve"> tháng </w:t>
      </w:r>
      <w:r w:rsidRPr="00F02362">
        <w:rPr>
          <w:rFonts w:ascii="Times New Roman" w:hAnsi="Times New Roman" w:cs="Times New Roman"/>
          <w:i/>
          <w:color w:val="auto"/>
          <w:sz w:val="28"/>
          <w:szCs w:val="28"/>
          <w:shd w:val="clear" w:color="auto" w:fill="FFFFFF"/>
        </w:rPr>
        <w:t>11</w:t>
      </w:r>
      <w:r w:rsidRPr="00F02362">
        <w:rPr>
          <w:rFonts w:ascii="Times New Roman" w:hAnsi="Times New Roman" w:cs="Times New Roman"/>
          <w:i/>
          <w:color w:val="auto"/>
          <w:sz w:val="28"/>
          <w:szCs w:val="28"/>
          <w:shd w:val="clear" w:color="auto" w:fill="FFFFFF"/>
          <w:lang w:val="en-US"/>
        </w:rPr>
        <w:t xml:space="preserve"> năm </w:t>
      </w:r>
      <w:r w:rsidRPr="00F02362">
        <w:rPr>
          <w:rFonts w:ascii="Times New Roman" w:hAnsi="Times New Roman" w:cs="Times New Roman"/>
          <w:i/>
          <w:color w:val="auto"/>
          <w:sz w:val="28"/>
          <w:szCs w:val="28"/>
          <w:shd w:val="clear" w:color="auto" w:fill="FFFFFF"/>
        </w:rPr>
        <w:t xml:space="preserve">2017 </w:t>
      </w:r>
      <w:r w:rsidR="00B62574">
        <w:rPr>
          <w:rFonts w:ascii="Times New Roman" w:hAnsi="Times New Roman" w:cs="Times New Roman"/>
          <w:bCs/>
          <w:i/>
          <w:color w:val="auto"/>
          <w:sz w:val="28"/>
          <w:szCs w:val="28"/>
          <w:lang w:val="en-US"/>
        </w:rPr>
        <w:t xml:space="preserve">của Bộ trưởng Bộ Tài chính </w:t>
      </w:r>
      <w:r w:rsidRPr="00F02362">
        <w:rPr>
          <w:rFonts w:ascii="Times New Roman" w:hAnsi="Times New Roman" w:cs="Times New Roman"/>
          <w:i/>
          <w:color w:val="auto"/>
          <w:sz w:val="28"/>
          <w:szCs w:val="28"/>
          <w:shd w:val="clear" w:color="auto" w:fill="FFFFFF"/>
        </w:rPr>
        <w:t>quy định quản lý và sử dụng kinh phí thực hiện chế độ áp dụng biện pháp đưa vào cơ sở cai nghiện bắt buộc và tổ chức cai nghiện ma túy bắt buộc tại cộng đồng</w:t>
      </w:r>
      <w:r w:rsidR="00756EBD">
        <w:rPr>
          <w:rFonts w:ascii="Times New Roman" w:hAnsi="Times New Roman" w:cs="Times New Roman"/>
          <w:i/>
          <w:color w:val="auto"/>
          <w:sz w:val="28"/>
          <w:szCs w:val="28"/>
          <w:shd w:val="clear" w:color="auto" w:fill="FFFFFF"/>
          <w:lang w:val="en-US"/>
        </w:rPr>
        <w:t>;</w:t>
      </w:r>
    </w:p>
    <w:p w:rsidR="00C65EC2" w:rsidRPr="00F02362" w:rsidRDefault="00C65EC2" w:rsidP="00C65EC2">
      <w:pPr>
        <w:pStyle w:val="Heading3"/>
        <w:ind w:firstLine="709"/>
        <w:jc w:val="both"/>
        <w:rPr>
          <w:b w:val="0"/>
          <w:i/>
          <w:szCs w:val="28"/>
        </w:rPr>
      </w:pPr>
      <w:r w:rsidRPr="00F02362">
        <w:rPr>
          <w:b w:val="0"/>
          <w:i/>
          <w:szCs w:val="28"/>
        </w:rPr>
        <w:t xml:space="preserve">Xét Tờ trình số …../TTr-UBND ngày … tháng … năm 2018 của Ủy ban nhân dân thành phố về việc </w:t>
      </w:r>
      <w:r w:rsidRPr="00F02362">
        <w:rPr>
          <w:b w:val="0"/>
          <w:i/>
          <w:szCs w:val="28"/>
          <w:lang w:val="sv-SE"/>
        </w:rPr>
        <w:t xml:space="preserve">Quy định các nội dung, mức chi và </w:t>
      </w:r>
      <w:r w:rsidR="00EF3F5A" w:rsidRPr="00F02362">
        <w:rPr>
          <w:b w:val="0"/>
          <w:i/>
          <w:szCs w:val="28"/>
          <w:lang w:val="sv-SE"/>
        </w:rPr>
        <w:t xml:space="preserve">chế độ miễn giảm, </w:t>
      </w:r>
      <w:r w:rsidRPr="00F02362">
        <w:rPr>
          <w:b w:val="0"/>
          <w:i/>
          <w:szCs w:val="28"/>
          <w:lang w:val="sv-SE"/>
        </w:rPr>
        <w:t>hỗ trợ cho công tác cai nghiện ma túy,</w:t>
      </w:r>
      <w:r w:rsidR="00EF3F5A" w:rsidRPr="00F02362">
        <w:rPr>
          <w:b w:val="0"/>
          <w:i/>
          <w:szCs w:val="28"/>
          <w:lang w:val="sv-SE"/>
        </w:rPr>
        <w:t xml:space="preserve"> </w:t>
      </w:r>
      <w:r w:rsidRPr="00F02362">
        <w:rPr>
          <w:b w:val="0"/>
          <w:i/>
          <w:szCs w:val="28"/>
          <w:lang w:val="sv-SE"/>
        </w:rPr>
        <w:t xml:space="preserve">quản lý sau cai nghiện </w:t>
      </w:r>
      <w:r w:rsidRPr="00F02362">
        <w:rPr>
          <w:b w:val="0"/>
          <w:i/>
          <w:szCs w:val="28"/>
        </w:rPr>
        <w:t>trên địa bàn thành phố Đà Nẵng; Báo cáo thẩm tra của Ban Kinh tế - Ngân sách Hội đồng nhân dân thành phố; ý kiến thảo luận của đại biểu Hội đồng nhân dân thành phố tại kỳ họp.</w:t>
      </w:r>
    </w:p>
    <w:p w:rsidR="00C65EC2" w:rsidRPr="00F02362" w:rsidRDefault="00C65EC2" w:rsidP="00C65EC2">
      <w:pPr>
        <w:tabs>
          <w:tab w:val="right" w:leader="dot" w:pos="7920"/>
        </w:tabs>
        <w:spacing w:beforeLines="60" w:before="144" w:afterLines="60" w:after="144" w:line="264" w:lineRule="auto"/>
        <w:rPr>
          <w:rFonts w:ascii="Times New Roman" w:hAnsi="Times New Roman" w:cs="Times New Roman"/>
          <w:b/>
          <w:color w:val="auto"/>
          <w:sz w:val="28"/>
          <w:szCs w:val="28"/>
        </w:rPr>
      </w:pPr>
      <w:r w:rsidRPr="00F02362">
        <w:rPr>
          <w:rFonts w:ascii="Times New Roman" w:hAnsi="Times New Roman" w:cs="Times New Roman"/>
          <w:b/>
          <w:color w:val="auto"/>
          <w:sz w:val="28"/>
          <w:szCs w:val="28"/>
        </w:rPr>
        <w:t>Q</w:t>
      </w:r>
      <w:r w:rsidRPr="00F02362">
        <w:rPr>
          <w:rFonts w:ascii="Times New Roman" w:hAnsi="Times New Roman" w:cs="Times New Roman"/>
          <w:b/>
          <w:color w:val="auto"/>
          <w:sz w:val="28"/>
          <w:szCs w:val="28"/>
          <w:lang w:val="en-US"/>
        </w:rPr>
        <w:t>UYẾ</w:t>
      </w:r>
      <w:r w:rsidRPr="00F02362">
        <w:rPr>
          <w:rFonts w:ascii="Times New Roman" w:hAnsi="Times New Roman" w:cs="Times New Roman"/>
          <w:b/>
          <w:color w:val="auto"/>
          <w:sz w:val="28"/>
          <w:szCs w:val="28"/>
        </w:rPr>
        <w:t>T NGHỊ:</w:t>
      </w:r>
    </w:p>
    <w:p w:rsidR="00C65EC2" w:rsidRPr="00F02362" w:rsidRDefault="00C65EC2" w:rsidP="00C65EC2">
      <w:pPr>
        <w:pStyle w:val="Heading3"/>
        <w:ind w:firstLine="720"/>
        <w:jc w:val="both"/>
        <w:rPr>
          <w:szCs w:val="28"/>
          <w:lang w:val="sv-SE"/>
        </w:rPr>
      </w:pPr>
      <w:r w:rsidRPr="00F02362">
        <w:rPr>
          <w:szCs w:val="28"/>
        </w:rPr>
        <w:t xml:space="preserve">Điều 1. </w:t>
      </w:r>
      <w:r w:rsidRPr="00F02362">
        <w:rPr>
          <w:szCs w:val="28"/>
          <w:lang w:val="sv-SE"/>
        </w:rPr>
        <w:t xml:space="preserve">Quy định các nội dung, mức chi và </w:t>
      </w:r>
      <w:r w:rsidR="00EE144C" w:rsidRPr="00F02362">
        <w:rPr>
          <w:szCs w:val="28"/>
          <w:lang w:val="sv-SE"/>
        </w:rPr>
        <w:t xml:space="preserve">chế độ miễn giảm, </w:t>
      </w:r>
      <w:r w:rsidRPr="00F02362">
        <w:rPr>
          <w:szCs w:val="28"/>
          <w:lang w:val="sv-SE"/>
        </w:rPr>
        <w:t>hỗ trợ công tác cai nghiện ma túy, quản lý sau cai nghiện</w:t>
      </w:r>
    </w:p>
    <w:p w:rsidR="008C3F09" w:rsidRPr="00F02362" w:rsidRDefault="00B154FA" w:rsidP="008C3F09">
      <w:pPr>
        <w:pStyle w:val="BodyText2"/>
        <w:spacing w:before="120" w:after="120"/>
        <w:ind w:firstLine="720"/>
        <w:rPr>
          <w:szCs w:val="28"/>
          <w:lang w:val="nl-NL"/>
        </w:rPr>
      </w:pPr>
      <w:r w:rsidRPr="00F02362">
        <w:rPr>
          <w:szCs w:val="28"/>
        </w:rPr>
        <w:t>1.</w:t>
      </w:r>
      <w:r w:rsidR="008C3F09" w:rsidRPr="00F02362">
        <w:rPr>
          <w:szCs w:val="28"/>
        </w:rPr>
        <w:t xml:space="preserve"> </w:t>
      </w:r>
      <w:r w:rsidR="008C3F09" w:rsidRPr="00F02362">
        <w:rPr>
          <w:szCs w:val="28"/>
          <w:lang w:val="nl-NL"/>
        </w:rPr>
        <w:t>T</w:t>
      </w:r>
      <w:r w:rsidR="008C3F09" w:rsidRPr="00F02362">
        <w:rPr>
          <w:szCs w:val="28"/>
          <w:lang w:val="nb-NO"/>
        </w:rPr>
        <w:t xml:space="preserve">iền chăn, màn, chiếu, gối, quần áo, đồ dùng sinh hoạt cá nhân cho </w:t>
      </w:r>
      <w:r w:rsidR="008C3F09" w:rsidRPr="00F02362">
        <w:rPr>
          <w:szCs w:val="28"/>
        </w:rPr>
        <w:t>học viên cai nghiện tập trung tại cơ sở cai nghiện công lập bằng 1,3 mức lương cơ sở/học viên/năm.</w:t>
      </w:r>
    </w:p>
    <w:p w:rsidR="008C3F09" w:rsidRPr="00F02362" w:rsidRDefault="00B154FA" w:rsidP="008C3F09">
      <w:pPr>
        <w:pStyle w:val="BodyText2"/>
        <w:spacing w:before="120" w:after="120"/>
        <w:ind w:firstLine="709"/>
        <w:rPr>
          <w:szCs w:val="28"/>
          <w:lang w:val="nb-NO"/>
        </w:rPr>
      </w:pPr>
      <w:r w:rsidRPr="00F02362">
        <w:rPr>
          <w:szCs w:val="28"/>
        </w:rPr>
        <w:t>2.</w:t>
      </w:r>
      <w:r w:rsidR="008C3F09" w:rsidRPr="00F02362">
        <w:rPr>
          <w:szCs w:val="28"/>
        </w:rPr>
        <w:t xml:space="preserve"> Tiền văn hóa, văn nghệ, thể dục, thể thao, đọc sách, báo, xem truyền hình và các hoạt động vui chơi giải trí</w:t>
      </w:r>
      <w:r w:rsidR="00FA7E45" w:rsidRPr="00F02362">
        <w:rPr>
          <w:szCs w:val="28"/>
        </w:rPr>
        <w:t>,</w:t>
      </w:r>
      <w:r w:rsidR="008C3F09" w:rsidRPr="00F02362">
        <w:rPr>
          <w:szCs w:val="28"/>
        </w:rPr>
        <w:t xml:space="preserve"> </w:t>
      </w:r>
      <w:r w:rsidR="00FA7E45" w:rsidRPr="00F02362">
        <w:rPr>
          <w:szCs w:val="28"/>
        </w:rPr>
        <w:t>n</w:t>
      </w:r>
      <w:r w:rsidR="008C3F09" w:rsidRPr="00F02362">
        <w:rPr>
          <w:szCs w:val="28"/>
        </w:rPr>
        <w:t xml:space="preserve">goài mức chi là 70.000 đồng/học viên/năm theo quy định của </w:t>
      </w:r>
      <w:r w:rsidR="008C3F09" w:rsidRPr="00F02362">
        <w:rPr>
          <w:szCs w:val="28"/>
          <w:lang w:val="nb-NO"/>
        </w:rPr>
        <w:t>Thông tư số 117/2017/TT-BTC</w:t>
      </w:r>
      <w:r w:rsidR="008C3F09" w:rsidRPr="00F02362">
        <w:rPr>
          <w:szCs w:val="28"/>
        </w:rPr>
        <w:t xml:space="preserve">, hằng năm, ngân sách thành phố cân đối bố trí kinh phí để mua sắm, sửa chữa các dụng cụ thể thao, trang thiết bị phục vụ văn nghệ và tổ chức hội thi, hội diễn…phục vụ các học viên cai nghiện tại </w:t>
      </w:r>
      <w:r w:rsidR="001037D4" w:rsidRPr="00FB227D">
        <w:rPr>
          <w:color w:val="0033CC"/>
          <w:szCs w:val="28"/>
        </w:rPr>
        <w:t>c</w:t>
      </w:r>
      <w:r w:rsidR="008C3F09" w:rsidRPr="00FB227D">
        <w:rPr>
          <w:color w:val="0033CC"/>
          <w:szCs w:val="28"/>
        </w:rPr>
        <w:t xml:space="preserve">ơ sở cai nghiện </w:t>
      </w:r>
      <w:r w:rsidR="001037D4" w:rsidRPr="00FB227D">
        <w:rPr>
          <w:color w:val="0033CC"/>
          <w:szCs w:val="28"/>
        </w:rPr>
        <w:t>công lập</w:t>
      </w:r>
      <w:r w:rsidR="008C3F09" w:rsidRPr="00F02362">
        <w:rPr>
          <w:szCs w:val="28"/>
        </w:rPr>
        <w:t xml:space="preserve"> với mức tối đa không quá 200.000.000 đồng/năm.</w:t>
      </w:r>
    </w:p>
    <w:p w:rsidR="008C3F09" w:rsidRPr="00F02362" w:rsidRDefault="00B154FA" w:rsidP="008C3F09">
      <w:pPr>
        <w:tabs>
          <w:tab w:val="right" w:leader="dot" w:pos="7920"/>
        </w:tabs>
        <w:spacing w:beforeLines="60" w:before="144" w:afterLines="60" w:after="144" w:line="264" w:lineRule="auto"/>
        <w:ind w:firstLine="709"/>
        <w:jc w:val="both"/>
        <w:rPr>
          <w:rFonts w:ascii="Times New Roman" w:hAnsi="Times New Roman" w:cs="Times New Roman"/>
          <w:color w:val="auto"/>
          <w:sz w:val="28"/>
          <w:szCs w:val="28"/>
          <w:lang w:val="en-US"/>
        </w:rPr>
      </w:pPr>
      <w:r w:rsidRPr="00F02362">
        <w:rPr>
          <w:rFonts w:ascii="Times New Roman" w:hAnsi="Times New Roman" w:cs="Times New Roman"/>
          <w:color w:val="auto"/>
          <w:sz w:val="28"/>
          <w:szCs w:val="28"/>
          <w:lang w:val="en-US"/>
        </w:rPr>
        <w:t>3.</w:t>
      </w:r>
      <w:r w:rsidR="008C3F09" w:rsidRPr="00F02362">
        <w:rPr>
          <w:rFonts w:ascii="Times New Roman" w:hAnsi="Times New Roman" w:cs="Times New Roman"/>
          <w:color w:val="auto"/>
          <w:sz w:val="28"/>
          <w:szCs w:val="28"/>
          <w:lang w:val="en-US"/>
        </w:rPr>
        <w:t xml:space="preserve"> Các khoản đóng góp đối với người cai nghiện ma túy bắt buộc tại cộng đồng</w:t>
      </w:r>
      <w:r w:rsidR="00A07188" w:rsidRPr="00F02362">
        <w:rPr>
          <w:rFonts w:ascii="Times New Roman" w:hAnsi="Times New Roman" w:cs="Times New Roman"/>
          <w:color w:val="auto"/>
          <w:sz w:val="28"/>
          <w:szCs w:val="28"/>
          <w:lang w:val="en-US"/>
        </w:rPr>
        <w:t>,</w:t>
      </w:r>
      <w:r w:rsidR="008C3F09" w:rsidRPr="00F02362">
        <w:rPr>
          <w:rFonts w:ascii="Times New Roman" w:hAnsi="Times New Roman" w:cs="Times New Roman"/>
          <w:color w:val="auto"/>
          <w:sz w:val="28"/>
          <w:szCs w:val="28"/>
          <w:lang w:val="en-US"/>
        </w:rPr>
        <w:t xml:space="preserve"> </w:t>
      </w:r>
      <w:r w:rsidR="00A07188" w:rsidRPr="00F02362">
        <w:rPr>
          <w:rFonts w:ascii="Times New Roman" w:hAnsi="Times New Roman" w:cs="Times New Roman"/>
          <w:color w:val="auto"/>
          <w:sz w:val="28"/>
          <w:szCs w:val="28"/>
          <w:lang w:val="en-US"/>
        </w:rPr>
        <w:t>gồm</w:t>
      </w:r>
      <w:r w:rsidR="008C3F09" w:rsidRPr="00F02362">
        <w:rPr>
          <w:rFonts w:ascii="Times New Roman" w:hAnsi="Times New Roman" w:cs="Times New Roman"/>
          <w:color w:val="auto"/>
          <w:sz w:val="28"/>
          <w:szCs w:val="28"/>
          <w:lang w:val="en-US"/>
        </w:rPr>
        <w:t>:</w:t>
      </w:r>
    </w:p>
    <w:p w:rsidR="008C3F09" w:rsidRPr="00593C4E" w:rsidRDefault="003D6BF4" w:rsidP="008C3F09">
      <w:pPr>
        <w:ind w:firstLine="709"/>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a) </w:t>
      </w:r>
      <w:r w:rsidR="008C3F09" w:rsidRPr="00593C4E">
        <w:rPr>
          <w:rFonts w:ascii="Times New Roman" w:hAnsi="Times New Roman" w:cs="Times New Roman"/>
          <w:color w:val="auto"/>
          <w:sz w:val="28"/>
          <w:szCs w:val="28"/>
          <w:lang w:val="en-US"/>
        </w:rPr>
        <w:t xml:space="preserve">Chi phí khám sức khỏe; xét nghiệm phát hiện chất ma túy; các xét nghiệm khác để chuẩn bị điều trị cắt cơn và tiền thuốc </w:t>
      </w:r>
      <w:r w:rsidR="005E35E9" w:rsidRPr="00593C4E">
        <w:rPr>
          <w:rFonts w:ascii="Times New Roman" w:hAnsi="Times New Roman" w:cs="Times New Roman"/>
          <w:color w:val="auto"/>
          <w:sz w:val="28"/>
          <w:szCs w:val="28"/>
          <w:lang w:val="en-US"/>
        </w:rPr>
        <w:t xml:space="preserve">hỗ trợ </w:t>
      </w:r>
      <w:r w:rsidR="008C3F09" w:rsidRPr="00593C4E">
        <w:rPr>
          <w:rFonts w:ascii="Times New Roman" w:hAnsi="Times New Roman" w:cs="Times New Roman"/>
          <w:color w:val="auto"/>
          <w:sz w:val="28"/>
          <w:szCs w:val="28"/>
          <w:lang w:val="en-US"/>
        </w:rPr>
        <w:t>cắt cơn nghiện: Theo quy định tại</w:t>
      </w:r>
      <w:r w:rsidR="00105CA4" w:rsidRPr="00593C4E">
        <w:rPr>
          <w:rFonts w:ascii="Times New Roman" w:hAnsi="Times New Roman" w:cs="Times New Roman"/>
          <w:color w:val="auto"/>
          <w:sz w:val="28"/>
          <w:szCs w:val="28"/>
          <w:lang w:val="en-US"/>
        </w:rPr>
        <w:t xml:space="preserve"> </w:t>
      </w:r>
      <w:r w:rsidR="008C3F09" w:rsidRPr="00593C4E">
        <w:rPr>
          <w:rFonts w:ascii="Times New Roman" w:hAnsi="Times New Roman" w:cs="Times New Roman"/>
          <w:color w:val="auto"/>
          <w:sz w:val="28"/>
          <w:szCs w:val="28"/>
          <w:lang w:val="en-US"/>
        </w:rPr>
        <w:t xml:space="preserve">Thông tư số 02/2017/TT-BYT; Thông tư số </w:t>
      </w:r>
      <w:r w:rsidR="008C3F09" w:rsidRPr="00593C4E">
        <w:rPr>
          <w:rFonts w:ascii="Times New Roman" w:hAnsi="Times New Roman" w:cs="Times New Roman"/>
          <w:bCs/>
          <w:color w:val="auto"/>
          <w:sz w:val="28"/>
          <w:szCs w:val="28"/>
        </w:rPr>
        <w:t>15/2018/TT-BYT</w:t>
      </w:r>
      <w:r w:rsidR="008C3F09" w:rsidRPr="00593C4E">
        <w:rPr>
          <w:rFonts w:ascii="Times New Roman" w:hAnsi="Times New Roman" w:cs="Times New Roman"/>
          <w:color w:val="auto"/>
          <w:sz w:val="28"/>
          <w:szCs w:val="28"/>
          <w:lang w:val="en-US"/>
        </w:rPr>
        <w:t xml:space="preserve"> và Nghị quyết số 99/2017/NQ-HĐND </w:t>
      </w:r>
      <w:r w:rsidR="008C3F09" w:rsidRPr="00593C4E">
        <w:rPr>
          <w:rFonts w:ascii="Times New Roman" w:hAnsi="Times New Roman" w:cs="Times New Roman"/>
          <w:iCs/>
          <w:color w:val="auto"/>
          <w:sz w:val="28"/>
          <w:szCs w:val="28"/>
        </w:rPr>
        <w:t>ngày 07 tháng 7 năm 2017</w:t>
      </w:r>
      <w:r w:rsidR="008C3F09" w:rsidRPr="00593C4E">
        <w:rPr>
          <w:rFonts w:ascii="Times New Roman" w:hAnsi="Times New Roman" w:cs="Times New Roman"/>
          <w:iCs/>
          <w:color w:val="auto"/>
          <w:sz w:val="28"/>
          <w:szCs w:val="28"/>
          <w:lang w:val="en-US"/>
        </w:rPr>
        <w:t xml:space="preserve"> của HĐND thành phố quy định </w:t>
      </w:r>
      <w:r w:rsidR="008C3F09" w:rsidRPr="00593C4E">
        <w:rPr>
          <w:rFonts w:ascii="Times New Roman" w:hAnsi="Times New Roman" w:cs="Times New Roman"/>
          <w:color w:val="auto"/>
          <w:sz w:val="28"/>
          <w:szCs w:val="28"/>
          <w:lang w:val="en-US"/>
        </w:rPr>
        <w:t xml:space="preserve">giá dịch vụ khám bệnh, chữa bệnh không thuộc phạm vi thanh toán của quỹ bảo hiểm y tế trong các cơ sở khám bệnh, chữa bệnh công lập thuộc thành phố Đà Nẵng. </w:t>
      </w:r>
    </w:p>
    <w:p w:rsidR="008C3F09" w:rsidRPr="00593C4E" w:rsidRDefault="003D6BF4" w:rsidP="008C3F09">
      <w:pPr>
        <w:tabs>
          <w:tab w:val="right" w:leader="dot" w:pos="7920"/>
        </w:tabs>
        <w:spacing w:beforeLines="60" w:before="144" w:afterLines="60" w:after="144" w:line="264" w:lineRule="auto"/>
        <w:ind w:firstLine="709"/>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b) </w:t>
      </w:r>
      <w:r w:rsidR="008C3F09" w:rsidRPr="00593C4E">
        <w:rPr>
          <w:rFonts w:ascii="Times New Roman" w:hAnsi="Times New Roman" w:cs="Times New Roman"/>
          <w:color w:val="auto"/>
          <w:sz w:val="28"/>
          <w:szCs w:val="28"/>
          <w:lang w:val="en-US"/>
        </w:rPr>
        <w:t>Tiền ăn trong thời gian cai nghiện tập trung tại cơ sở điều trị cắt cơn</w:t>
      </w:r>
      <w:r w:rsidR="008C3F09" w:rsidRPr="00593C4E">
        <w:rPr>
          <w:rFonts w:ascii="Times New Roman" w:hAnsi="Times New Roman" w:cs="Times New Roman"/>
          <w:color w:val="auto"/>
          <w:sz w:val="28"/>
          <w:szCs w:val="28"/>
          <w:lang w:val="nl-NL"/>
        </w:rPr>
        <w:t>: 40.000 đồng/người/ngày.</w:t>
      </w:r>
    </w:p>
    <w:p w:rsidR="008C3F09" w:rsidRPr="00593C4E" w:rsidRDefault="00B154FA" w:rsidP="008C3F09">
      <w:pPr>
        <w:tabs>
          <w:tab w:val="right" w:leader="dot" w:pos="7920"/>
        </w:tabs>
        <w:spacing w:beforeLines="60" w:before="144" w:afterLines="60" w:after="144" w:line="264" w:lineRule="auto"/>
        <w:ind w:firstLine="709"/>
        <w:jc w:val="both"/>
        <w:rPr>
          <w:rFonts w:ascii="Times New Roman" w:hAnsi="Times New Roman" w:cs="Times New Roman"/>
          <w:color w:val="auto"/>
          <w:sz w:val="28"/>
          <w:szCs w:val="28"/>
          <w:lang w:val="en-US"/>
        </w:rPr>
      </w:pPr>
      <w:r w:rsidRPr="00593C4E">
        <w:rPr>
          <w:rFonts w:ascii="Times New Roman" w:hAnsi="Times New Roman" w:cs="Times New Roman"/>
          <w:color w:val="auto"/>
          <w:sz w:val="28"/>
          <w:szCs w:val="28"/>
          <w:lang w:val="en-US"/>
        </w:rPr>
        <w:t>4.</w:t>
      </w:r>
      <w:r w:rsidR="008C3F09" w:rsidRPr="00593C4E">
        <w:rPr>
          <w:rFonts w:ascii="Times New Roman" w:hAnsi="Times New Roman" w:cs="Times New Roman"/>
          <w:color w:val="auto"/>
          <w:sz w:val="28"/>
          <w:szCs w:val="28"/>
          <w:lang w:val="en-US"/>
        </w:rPr>
        <w:t xml:space="preserve"> </w:t>
      </w:r>
      <w:r w:rsidR="00A07188" w:rsidRPr="00593C4E">
        <w:rPr>
          <w:rFonts w:ascii="Times New Roman" w:hAnsi="Times New Roman" w:cs="Times New Roman"/>
          <w:color w:val="auto"/>
          <w:sz w:val="28"/>
          <w:szCs w:val="28"/>
          <w:lang w:val="en-US"/>
        </w:rPr>
        <w:t xml:space="preserve">Miễn </w:t>
      </w:r>
      <w:r w:rsidR="008C3F09" w:rsidRPr="00593C4E">
        <w:rPr>
          <w:rFonts w:ascii="Times New Roman" w:hAnsi="Times New Roman" w:cs="Times New Roman"/>
          <w:color w:val="auto"/>
          <w:sz w:val="28"/>
          <w:szCs w:val="28"/>
          <w:lang w:val="en-US"/>
        </w:rPr>
        <w:t xml:space="preserve">các khoản đóng góp đối với người cai nghiện ma túy bắt buộc tại cộng đồng </w:t>
      </w:r>
      <w:r w:rsidR="008316A4" w:rsidRPr="00593C4E">
        <w:rPr>
          <w:rFonts w:ascii="Times New Roman" w:hAnsi="Times New Roman" w:cs="Times New Roman"/>
          <w:color w:val="auto"/>
          <w:sz w:val="28"/>
          <w:szCs w:val="28"/>
          <w:lang w:val="en-US"/>
        </w:rPr>
        <w:t>gồm</w:t>
      </w:r>
      <w:r w:rsidR="008C3F09" w:rsidRPr="00593C4E">
        <w:rPr>
          <w:rFonts w:ascii="Times New Roman" w:hAnsi="Times New Roman" w:cs="Times New Roman"/>
          <w:color w:val="auto"/>
          <w:sz w:val="28"/>
          <w:szCs w:val="28"/>
          <w:lang w:val="en-US"/>
        </w:rPr>
        <w:t xml:space="preserve">: </w:t>
      </w:r>
      <w:r w:rsidR="008316A4" w:rsidRPr="00593C4E">
        <w:rPr>
          <w:rFonts w:ascii="Times New Roman" w:hAnsi="Times New Roman" w:cs="Times New Roman"/>
          <w:color w:val="auto"/>
          <w:sz w:val="28"/>
          <w:szCs w:val="28"/>
          <w:lang w:val="en-US"/>
        </w:rPr>
        <w:t>C</w:t>
      </w:r>
      <w:r w:rsidR="008C3F09" w:rsidRPr="00593C4E">
        <w:rPr>
          <w:rFonts w:ascii="Times New Roman" w:hAnsi="Times New Roman" w:cs="Times New Roman"/>
          <w:color w:val="auto"/>
          <w:sz w:val="28"/>
          <w:szCs w:val="28"/>
          <w:lang w:val="en-US"/>
        </w:rPr>
        <w:t>hi phí khám sức khỏe; xét nghiệm phát hiện chất ma túy; các xét nghiệm khác để chuẩn bị điều trị cắt cơn và tiền thuốc hỗ trợ cắt cơn nghiện</w:t>
      </w:r>
      <w:r w:rsidR="008C3F09" w:rsidRPr="00593C4E">
        <w:rPr>
          <w:rFonts w:ascii="Times New Roman" w:hAnsi="Times New Roman" w:cs="Times New Roman"/>
          <w:color w:val="auto"/>
          <w:sz w:val="28"/>
          <w:szCs w:val="28"/>
          <w:lang w:val="nl-NL"/>
        </w:rPr>
        <w:t>.</w:t>
      </w:r>
    </w:p>
    <w:p w:rsidR="008C3F09" w:rsidRPr="00F02362" w:rsidRDefault="008C3F09" w:rsidP="008C3F09">
      <w:pPr>
        <w:shd w:val="clear" w:color="auto" w:fill="FFFFFF"/>
        <w:spacing w:before="120" w:after="120"/>
        <w:ind w:firstLine="720"/>
        <w:jc w:val="both"/>
        <w:rPr>
          <w:rFonts w:ascii="Times New Roman" w:hAnsi="Times New Roman" w:cs="Times New Roman"/>
          <w:color w:val="auto"/>
          <w:sz w:val="28"/>
          <w:szCs w:val="28"/>
          <w:lang w:val="en-US"/>
        </w:rPr>
      </w:pPr>
      <w:r w:rsidRPr="00F02362">
        <w:rPr>
          <w:rFonts w:ascii="Times New Roman" w:hAnsi="Times New Roman" w:cs="Times New Roman"/>
          <w:color w:val="auto"/>
          <w:sz w:val="28"/>
          <w:szCs w:val="28"/>
          <w:lang w:val="en-US"/>
        </w:rPr>
        <w:lastRenderedPageBreak/>
        <w:t>Mức miễn các khoản đóng góp theo chi phí thực tế và hóa đơn chứng từ hợ</w:t>
      </w:r>
      <w:r w:rsidR="008316A4">
        <w:rPr>
          <w:rFonts w:ascii="Times New Roman" w:hAnsi="Times New Roman" w:cs="Times New Roman"/>
          <w:color w:val="auto"/>
          <w:sz w:val="28"/>
          <w:szCs w:val="28"/>
          <w:lang w:val="en-US"/>
        </w:rPr>
        <w:t xml:space="preserve">p pháp </w:t>
      </w:r>
      <w:r w:rsidRPr="00F02362">
        <w:rPr>
          <w:rFonts w:ascii="Times New Roman" w:hAnsi="Times New Roman" w:cs="Times New Roman"/>
          <w:color w:val="auto"/>
          <w:sz w:val="28"/>
          <w:szCs w:val="28"/>
          <w:lang w:val="en-US"/>
        </w:rPr>
        <w:t xml:space="preserve">theo quy định tại Thông tư số 02/2017/TT-BYT, Thông tư số </w:t>
      </w:r>
      <w:r w:rsidRPr="00F02362">
        <w:rPr>
          <w:rFonts w:ascii="Times New Roman" w:hAnsi="Times New Roman" w:cs="Times New Roman"/>
          <w:bCs/>
          <w:color w:val="auto"/>
          <w:sz w:val="28"/>
          <w:szCs w:val="28"/>
        </w:rPr>
        <w:t>15/2018/TT-BYT</w:t>
      </w:r>
      <w:r w:rsidRPr="00F02362">
        <w:rPr>
          <w:rFonts w:ascii="Times New Roman" w:hAnsi="Times New Roman" w:cs="Times New Roman"/>
          <w:color w:val="auto"/>
          <w:sz w:val="28"/>
          <w:szCs w:val="28"/>
          <w:lang w:val="en-US"/>
        </w:rPr>
        <w:t xml:space="preserve"> và Nghị quyết số 99/2017/NQ-HĐND </w:t>
      </w:r>
      <w:r w:rsidRPr="00F02362">
        <w:rPr>
          <w:rFonts w:ascii="Times New Roman" w:hAnsi="Times New Roman" w:cs="Times New Roman"/>
          <w:iCs/>
          <w:color w:val="auto"/>
          <w:sz w:val="28"/>
          <w:szCs w:val="28"/>
          <w:lang w:val="en-US"/>
        </w:rPr>
        <w:t>của HĐND thành phố</w:t>
      </w:r>
      <w:r w:rsidRPr="00F02362">
        <w:rPr>
          <w:rFonts w:ascii="Times New Roman" w:hAnsi="Times New Roman" w:cs="Times New Roman"/>
          <w:color w:val="auto"/>
          <w:sz w:val="28"/>
          <w:szCs w:val="28"/>
          <w:lang w:val="en-US"/>
        </w:rPr>
        <w:t xml:space="preserve"> Đà Nẵng.</w:t>
      </w:r>
    </w:p>
    <w:p w:rsidR="008C3F09" w:rsidRPr="00593C4E" w:rsidRDefault="00B154FA" w:rsidP="008C3F09">
      <w:pPr>
        <w:shd w:val="clear" w:color="auto" w:fill="FFFFFF"/>
        <w:spacing w:before="120" w:after="120"/>
        <w:ind w:firstLine="720"/>
        <w:jc w:val="both"/>
        <w:rPr>
          <w:rFonts w:ascii="Times New Roman" w:hAnsi="Times New Roman" w:cs="Times New Roman"/>
          <w:color w:val="auto"/>
          <w:sz w:val="28"/>
          <w:szCs w:val="28"/>
          <w:lang w:val="en-US"/>
        </w:rPr>
      </w:pPr>
      <w:r w:rsidRPr="00593C4E">
        <w:rPr>
          <w:rFonts w:ascii="Times New Roman" w:hAnsi="Times New Roman" w:cs="Times New Roman"/>
          <w:color w:val="auto"/>
          <w:sz w:val="28"/>
          <w:szCs w:val="28"/>
          <w:lang w:val="en-US"/>
        </w:rPr>
        <w:t>5.</w:t>
      </w:r>
      <w:r w:rsidR="008C3F09" w:rsidRPr="00593C4E">
        <w:rPr>
          <w:rFonts w:ascii="Times New Roman" w:hAnsi="Times New Roman" w:cs="Times New Roman"/>
          <w:color w:val="auto"/>
          <w:sz w:val="28"/>
          <w:szCs w:val="28"/>
          <w:lang w:val="en-US"/>
        </w:rPr>
        <w:t xml:space="preserve"> </w:t>
      </w:r>
      <w:r w:rsidR="008C3F09" w:rsidRPr="00593C4E">
        <w:rPr>
          <w:rFonts w:ascii="Times New Roman" w:eastAsia="Times New Roman" w:hAnsi="Times New Roman" w:cs="Times New Roman"/>
          <w:color w:val="auto"/>
          <w:sz w:val="28"/>
          <w:szCs w:val="28"/>
          <w:lang w:val="nb-NO"/>
        </w:rPr>
        <w:t xml:space="preserve">Hỗ trợ người </w:t>
      </w:r>
      <w:r w:rsidR="00FE46A9" w:rsidRPr="00593C4E">
        <w:rPr>
          <w:rFonts w:ascii="Times New Roman" w:eastAsia="Times New Roman" w:hAnsi="Times New Roman" w:cs="Times New Roman"/>
          <w:color w:val="auto"/>
          <w:sz w:val="28"/>
          <w:szCs w:val="28"/>
          <w:lang w:val="nb-NO"/>
        </w:rPr>
        <w:t xml:space="preserve">phân </w:t>
      </w:r>
      <w:r w:rsidR="008C3F09" w:rsidRPr="00593C4E">
        <w:rPr>
          <w:rFonts w:ascii="Times New Roman" w:eastAsia="Times New Roman" w:hAnsi="Times New Roman" w:cs="Times New Roman"/>
          <w:color w:val="auto"/>
          <w:sz w:val="28"/>
          <w:szCs w:val="28"/>
          <w:lang w:val="nb-NO"/>
        </w:rPr>
        <w:t>được công theo dõi, quản lý người cai nghiện tại gia đình - cộng đồng 350.000 đồng/người/tháng.</w:t>
      </w:r>
    </w:p>
    <w:p w:rsidR="008C3F09" w:rsidRPr="00593C4E" w:rsidRDefault="00B154FA" w:rsidP="008C3F09">
      <w:pPr>
        <w:shd w:val="clear" w:color="auto" w:fill="FFFFFF"/>
        <w:spacing w:before="120" w:after="120"/>
        <w:ind w:firstLine="720"/>
        <w:jc w:val="both"/>
        <w:rPr>
          <w:rFonts w:ascii="Times New Roman" w:eastAsia="Times New Roman" w:hAnsi="Times New Roman" w:cs="Times New Roman"/>
          <w:color w:val="auto"/>
          <w:sz w:val="28"/>
          <w:szCs w:val="28"/>
          <w:lang w:val="en-US" w:eastAsia="en-US"/>
        </w:rPr>
      </w:pPr>
      <w:r w:rsidRPr="00593C4E">
        <w:rPr>
          <w:rFonts w:ascii="Times New Roman" w:hAnsi="Times New Roman" w:cs="Times New Roman"/>
          <w:color w:val="auto"/>
          <w:sz w:val="28"/>
          <w:szCs w:val="28"/>
          <w:lang w:val="en-US"/>
        </w:rPr>
        <w:t>6.</w:t>
      </w:r>
      <w:r w:rsidR="008C3F09" w:rsidRPr="00593C4E">
        <w:rPr>
          <w:rFonts w:ascii="Times New Roman" w:hAnsi="Times New Roman" w:cs="Times New Roman"/>
          <w:color w:val="auto"/>
          <w:sz w:val="28"/>
          <w:szCs w:val="28"/>
          <w:lang w:val="en-US"/>
        </w:rPr>
        <w:t xml:space="preserve"> </w:t>
      </w:r>
      <w:r w:rsidR="00A07188" w:rsidRPr="00593C4E">
        <w:rPr>
          <w:rFonts w:ascii="Times New Roman" w:hAnsi="Times New Roman" w:cs="Times New Roman"/>
          <w:color w:val="auto"/>
          <w:sz w:val="28"/>
          <w:szCs w:val="28"/>
          <w:lang w:val="en-US"/>
        </w:rPr>
        <w:t xml:space="preserve">Hỗ </w:t>
      </w:r>
      <w:r w:rsidR="008C3F09" w:rsidRPr="00593C4E">
        <w:rPr>
          <w:rFonts w:ascii="Times New Roman" w:hAnsi="Times New Roman" w:cs="Times New Roman"/>
          <w:color w:val="auto"/>
          <w:sz w:val="28"/>
          <w:szCs w:val="28"/>
          <w:lang w:val="en-US"/>
        </w:rPr>
        <w:t xml:space="preserve">trợ người cai nghiện tự nguyện tại cơ sở cai nghiện công lập </w:t>
      </w:r>
      <w:r w:rsidR="008C3F09" w:rsidRPr="00593C4E">
        <w:rPr>
          <w:rFonts w:ascii="Times New Roman" w:eastAsia="Times New Roman" w:hAnsi="Times New Roman" w:cs="Times New Roman"/>
          <w:color w:val="auto"/>
          <w:sz w:val="28"/>
          <w:szCs w:val="28"/>
          <w:lang w:val="en-US" w:eastAsia="en-US"/>
        </w:rPr>
        <w:t>có hộ khẩu thường trú hoặc đăng ký tạm trú 01 năm trở lên trên địa bàn thành phố Đà Nẵng như các khoản chi phí đối với người cai nghiện bị áp dụng biện pháp xử lý hành chính đưa vào cơ sở cai nghiện bắt buộc</w:t>
      </w:r>
      <w:r w:rsidR="008C3F09" w:rsidRPr="00593C4E">
        <w:rPr>
          <w:rFonts w:ascii="Times New Roman" w:hAnsi="Times New Roman" w:cs="Times New Roman"/>
          <w:color w:val="auto"/>
          <w:sz w:val="28"/>
          <w:szCs w:val="28"/>
          <w:lang w:val="nb-NO"/>
        </w:rPr>
        <w:t>.</w:t>
      </w:r>
    </w:p>
    <w:p w:rsidR="008C3F09" w:rsidRPr="00593C4E" w:rsidRDefault="00B154FA" w:rsidP="008C3F09">
      <w:pPr>
        <w:pStyle w:val="BodyText2"/>
        <w:spacing w:before="120" w:after="120"/>
        <w:ind w:firstLine="709"/>
        <w:rPr>
          <w:szCs w:val="28"/>
        </w:rPr>
      </w:pPr>
      <w:r w:rsidRPr="00593C4E">
        <w:rPr>
          <w:szCs w:val="28"/>
        </w:rPr>
        <w:t>7.</w:t>
      </w:r>
      <w:r w:rsidR="008C3F09" w:rsidRPr="00593C4E">
        <w:rPr>
          <w:szCs w:val="28"/>
        </w:rPr>
        <w:t xml:space="preserve"> Hỗ trợ người tham gia phiên họp xét áp dụng biện pháp xử lý hành chính đưa vào cơ sở cai nghiện bắt buộc do Tòa án tổ chức tại </w:t>
      </w:r>
      <w:r w:rsidR="00593C4E" w:rsidRPr="00C371E1">
        <w:rPr>
          <w:color w:val="0033CC"/>
          <w:szCs w:val="28"/>
        </w:rPr>
        <w:t>cơ sở cai nghiện công lập</w:t>
      </w:r>
      <w:r w:rsidR="008C3F09" w:rsidRPr="00593C4E">
        <w:rPr>
          <w:szCs w:val="28"/>
        </w:rPr>
        <w:t xml:space="preserve"> 100.000 đồng/người/phiên họp (gồm: 01 thẩm phán, 01 thư ký Tòa án nhân nhân; 01 Kiểm sát viên Viện Kiểm sát nhân dân; 01 đại diện Phòng Lao động - Thương binh và Xã hội quận, huyện).</w:t>
      </w:r>
    </w:p>
    <w:p w:rsidR="008C3F09" w:rsidRPr="00F02362" w:rsidRDefault="00B154FA" w:rsidP="008C3F09">
      <w:pPr>
        <w:pStyle w:val="BodyText2"/>
        <w:spacing w:before="120" w:after="120"/>
        <w:ind w:firstLine="709"/>
        <w:rPr>
          <w:szCs w:val="28"/>
        </w:rPr>
      </w:pPr>
      <w:r w:rsidRPr="00F02362">
        <w:rPr>
          <w:szCs w:val="28"/>
        </w:rPr>
        <w:t>8.</w:t>
      </w:r>
      <w:r w:rsidR="008C3F09" w:rsidRPr="00F02362">
        <w:rPr>
          <w:szCs w:val="28"/>
        </w:rPr>
        <w:t xml:space="preserve"> Hỗ trợ người được cử đến cơ sở cai nghiện tiếp nhận người hoàn thành thời gian cai nghiện về địa phương để theo dõi, giúp đỡ, quản lý sau cai tại nơi cư trú 100.000 đồng/người/lần.</w:t>
      </w:r>
    </w:p>
    <w:p w:rsidR="008C3F09" w:rsidRPr="00F02362" w:rsidRDefault="00B154FA" w:rsidP="008C3F09">
      <w:pPr>
        <w:pStyle w:val="BodyText2"/>
        <w:spacing w:before="120" w:after="120"/>
        <w:ind w:firstLine="720"/>
        <w:rPr>
          <w:szCs w:val="28"/>
        </w:rPr>
      </w:pPr>
      <w:r w:rsidRPr="00F02362">
        <w:rPr>
          <w:szCs w:val="28"/>
        </w:rPr>
        <w:t>9.</w:t>
      </w:r>
      <w:r w:rsidR="008C3F09" w:rsidRPr="00F02362">
        <w:rPr>
          <w:szCs w:val="28"/>
        </w:rPr>
        <w:t xml:space="preserve"> Hỗ trợ người được phân công theo dõi, giúp đỡ, giáo dục, quản lý người sau cai nghiện tại nơi cư trú 350.000 đồng/tháng</w:t>
      </w:r>
      <w:r w:rsidR="000416BE">
        <w:rPr>
          <w:szCs w:val="28"/>
        </w:rPr>
        <w:t>/</w:t>
      </w:r>
      <w:r w:rsidR="000416BE" w:rsidRPr="004F6E4E">
        <w:rPr>
          <w:color w:val="0033CC"/>
          <w:szCs w:val="28"/>
        </w:rPr>
        <w:t>đối với mỗi người được quản lý sau cai</w:t>
      </w:r>
      <w:r w:rsidR="008C3F09" w:rsidRPr="00F02362">
        <w:rPr>
          <w:szCs w:val="28"/>
        </w:rPr>
        <w:t>.</w:t>
      </w:r>
      <w:r w:rsidR="00A271B3">
        <w:rPr>
          <w:szCs w:val="28"/>
        </w:rPr>
        <w:t xml:space="preserve"> </w:t>
      </w:r>
      <w:r w:rsidR="00A271B3" w:rsidRPr="00A26195">
        <w:rPr>
          <w:color w:val="0033CC"/>
          <w:szCs w:val="28"/>
        </w:rPr>
        <w:t xml:space="preserve">Một người có thể được phân công giúp đỡ nhiều người </w:t>
      </w:r>
      <w:r w:rsidR="000416BE">
        <w:rPr>
          <w:color w:val="0033CC"/>
          <w:szCs w:val="28"/>
        </w:rPr>
        <w:t xml:space="preserve">được quản lý sau cai </w:t>
      </w:r>
      <w:r w:rsidR="00A271B3" w:rsidRPr="00A26195">
        <w:rPr>
          <w:color w:val="0033CC"/>
          <w:szCs w:val="28"/>
        </w:rPr>
        <w:t>nhưng không quá 03 người cùng một lúc</w:t>
      </w:r>
      <w:r w:rsidR="00A271B3">
        <w:rPr>
          <w:color w:val="0033CC"/>
          <w:szCs w:val="28"/>
        </w:rPr>
        <w:t>.</w:t>
      </w:r>
    </w:p>
    <w:p w:rsidR="00C65EC2" w:rsidRPr="00F02362" w:rsidRDefault="00C65EC2" w:rsidP="00C65EC2">
      <w:pPr>
        <w:tabs>
          <w:tab w:val="right" w:leader="dot" w:pos="8640"/>
        </w:tabs>
        <w:spacing w:beforeLines="60" w:before="144" w:afterLines="60" w:after="144" w:line="264" w:lineRule="auto"/>
        <w:ind w:firstLine="709"/>
        <w:jc w:val="both"/>
        <w:rPr>
          <w:rFonts w:ascii="Times New Roman" w:hAnsi="Times New Roman" w:cs="Times New Roman"/>
          <w:b/>
          <w:color w:val="auto"/>
          <w:sz w:val="28"/>
          <w:szCs w:val="28"/>
          <w:lang w:val="en-US"/>
        </w:rPr>
      </w:pPr>
      <w:r w:rsidRPr="00F02362">
        <w:rPr>
          <w:rFonts w:ascii="Times New Roman" w:hAnsi="Times New Roman" w:cs="Times New Roman"/>
          <w:b/>
          <w:color w:val="auto"/>
          <w:sz w:val="28"/>
          <w:szCs w:val="28"/>
          <w:lang w:val="en-US"/>
        </w:rPr>
        <w:t>Điều 2. Tổ chức thực hiện</w:t>
      </w:r>
    </w:p>
    <w:p w:rsidR="00C65EC2" w:rsidRPr="00F02362" w:rsidRDefault="00C65EC2" w:rsidP="00C65EC2">
      <w:pPr>
        <w:tabs>
          <w:tab w:val="right" w:leader="dot" w:pos="8640"/>
        </w:tabs>
        <w:spacing w:beforeLines="60" w:before="144" w:afterLines="60" w:after="144" w:line="264" w:lineRule="auto"/>
        <w:ind w:firstLine="709"/>
        <w:jc w:val="both"/>
        <w:rPr>
          <w:rFonts w:ascii="Times New Roman" w:hAnsi="Times New Roman" w:cs="Times New Roman"/>
          <w:color w:val="auto"/>
          <w:sz w:val="28"/>
          <w:szCs w:val="28"/>
          <w:lang w:val="en-US"/>
        </w:rPr>
      </w:pPr>
      <w:r w:rsidRPr="00F02362">
        <w:rPr>
          <w:rFonts w:ascii="Times New Roman" w:hAnsi="Times New Roman" w:cs="Times New Roman"/>
          <w:color w:val="auto"/>
          <w:sz w:val="28"/>
          <w:szCs w:val="28"/>
          <w:lang w:val="en-US"/>
        </w:rPr>
        <w:t>Giao cho Ủy ban nhân dân thành phố triển khai thực hiện Nghị quyết này theo đúng quy định của pháp luật.</w:t>
      </w:r>
    </w:p>
    <w:p w:rsidR="00C65EC2" w:rsidRPr="00F02362" w:rsidRDefault="00C65EC2" w:rsidP="00C65EC2">
      <w:pPr>
        <w:tabs>
          <w:tab w:val="right" w:leader="dot" w:pos="8640"/>
        </w:tabs>
        <w:spacing w:beforeLines="60" w:before="144" w:afterLines="60" w:after="144" w:line="264" w:lineRule="auto"/>
        <w:ind w:firstLine="709"/>
        <w:jc w:val="both"/>
        <w:rPr>
          <w:rFonts w:ascii="Times New Roman" w:hAnsi="Times New Roman" w:cs="Times New Roman"/>
          <w:color w:val="auto"/>
          <w:sz w:val="28"/>
          <w:szCs w:val="28"/>
          <w:lang w:val="en-US"/>
        </w:rPr>
      </w:pPr>
      <w:r w:rsidRPr="00F02362">
        <w:rPr>
          <w:rFonts w:ascii="Times New Roman" w:hAnsi="Times New Roman" w:cs="Times New Roman"/>
          <w:color w:val="auto"/>
          <w:sz w:val="28"/>
          <w:szCs w:val="28"/>
          <w:lang w:val="en-US"/>
        </w:rPr>
        <w:t xml:space="preserve">Thường trực Hội đồng nhân dân, các ban Hội đồng nhân dân, các tổ đại biểu Hội đồng nhân dân thành phố giám sát việc thực hiện Nghị quyết này.  </w:t>
      </w:r>
    </w:p>
    <w:p w:rsidR="00C65EC2" w:rsidRPr="00F02362" w:rsidRDefault="00C65EC2" w:rsidP="00C65EC2">
      <w:pPr>
        <w:tabs>
          <w:tab w:val="right" w:leader="dot" w:pos="8640"/>
        </w:tabs>
        <w:spacing w:beforeLines="60" w:before="144" w:afterLines="60" w:after="144" w:line="264" w:lineRule="auto"/>
        <w:ind w:firstLine="709"/>
        <w:jc w:val="both"/>
        <w:rPr>
          <w:rFonts w:ascii="Times New Roman" w:hAnsi="Times New Roman" w:cs="Times New Roman"/>
          <w:color w:val="auto"/>
          <w:sz w:val="28"/>
          <w:szCs w:val="28"/>
          <w:lang w:val="en-US"/>
        </w:rPr>
      </w:pPr>
      <w:r w:rsidRPr="00F02362">
        <w:rPr>
          <w:rFonts w:ascii="Times New Roman" w:hAnsi="Times New Roman" w:cs="Times New Roman"/>
          <w:color w:val="auto"/>
          <w:sz w:val="28"/>
          <w:szCs w:val="28"/>
          <w:lang w:val="en-US"/>
        </w:rPr>
        <w:tab/>
      </w:r>
      <w:r w:rsidRPr="00F02362">
        <w:rPr>
          <w:rFonts w:ascii="Times New Roman" w:hAnsi="Times New Roman" w:cs="Times New Roman"/>
          <w:color w:val="auto"/>
          <w:sz w:val="28"/>
          <w:szCs w:val="28"/>
        </w:rPr>
        <w:t xml:space="preserve">Nghị quyết này đã được Hội đồng nhân dân </w:t>
      </w:r>
      <w:r w:rsidRPr="00F02362">
        <w:rPr>
          <w:rFonts w:ascii="Times New Roman" w:hAnsi="Times New Roman" w:cs="Times New Roman"/>
          <w:color w:val="auto"/>
          <w:sz w:val="28"/>
          <w:szCs w:val="28"/>
          <w:lang w:val="en-US"/>
        </w:rPr>
        <w:t xml:space="preserve">thành phố </w:t>
      </w:r>
      <w:r w:rsidRPr="00F02362">
        <w:rPr>
          <w:rFonts w:ascii="Times New Roman" w:hAnsi="Times New Roman" w:cs="Times New Roman"/>
          <w:color w:val="auto"/>
          <w:sz w:val="28"/>
          <w:szCs w:val="28"/>
        </w:rPr>
        <w:t>Khóa</w:t>
      </w:r>
      <w:r w:rsidRPr="00F02362">
        <w:rPr>
          <w:rFonts w:ascii="Times New Roman" w:hAnsi="Times New Roman" w:cs="Times New Roman"/>
          <w:color w:val="auto"/>
          <w:sz w:val="28"/>
          <w:szCs w:val="28"/>
          <w:lang w:val="en-US"/>
        </w:rPr>
        <w:t xml:space="preserve"> IX, </w:t>
      </w:r>
      <w:r w:rsidRPr="00F02362">
        <w:rPr>
          <w:rFonts w:ascii="Times New Roman" w:hAnsi="Times New Roman" w:cs="Times New Roman"/>
          <w:color w:val="auto"/>
          <w:sz w:val="28"/>
          <w:szCs w:val="28"/>
        </w:rPr>
        <w:t xml:space="preserve">Kỳ họp </w:t>
      </w:r>
      <w:r w:rsidR="00105CA4">
        <w:rPr>
          <w:rFonts w:ascii="Times New Roman" w:hAnsi="Times New Roman" w:cs="Times New Roman"/>
          <w:color w:val="auto"/>
          <w:sz w:val="28"/>
          <w:szCs w:val="28"/>
          <w:lang w:val="en-US"/>
        </w:rPr>
        <w:t xml:space="preserve">thứ 9 </w:t>
      </w:r>
      <w:r w:rsidRPr="00F02362">
        <w:rPr>
          <w:rFonts w:ascii="Times New Roman" w:hAnsi="Times New Roman" w:cs="Times New Roman"/>
          <w:color w:val="auto"/>
          <w:sz w:val="28"/>
          <w:szCs w:val="28"/>
          <w:lang w:val="en-US"/>
        </w:rPr>
        <w:t xml:space="preserve"> </w:t>
      </w:r>
      <w:r w:rsidRPr="00F02362">
        <w:rPr>
          <w:rFonts w:ascii="Times New Roman" w:hAnsi="Times New Roman" w:cs="Times New Roman"/>
          <w:color w:val="auto"/>
          <w:sz w:val="28"/>
          <w:szCs w:val="28"/>
        </w:rPr>
        <w:t>thông qua ngày ... tháng ... năm</w:t>
      </w:r>
      <w:r w:rsidRPr="00F02362">
        <w:rPr>
          <w:rFonts w:ascii="Times New Roman" w:hAnsi="Times New Roman" w:cs="Times New Roman"/>
          <w:color w:val="auto"/>
          <w:sz w:val="28"/>
          <w:szCs w:val="28"/>
          <w:lang w:val="en-US"/>
        </w:rPr>
        <w:t xml:space="preserve"> 2018 </w:t>
      </w:r>
      <w:r w:rsidRPr="00F02362">
        <w:rPr>
          <w:rFonts w:ascii="Times New Roman" w:hAnsi="Times New Roman" w:cs="Times New Roman"/>
          <w:color w:val="auto"/>
          <w:sz w:val="28"/>
          <w:szCs w:val="28"/>
        </w:rPr>
        <w:t>và có hiệu lực từ ngày...</w:t>
      </w:r>
      <w:r w:rsidRPr="00F02362">
        <w:rPr>
          <w:rFonts w:ascii="Times New Roman" w:hAnsi="Times New Roman" w:cs="Times New Roman"/>
          <w:color w:val="auto"/>
          <w:sz w:val="28"/>
          <w:szCs w:val="28"/>
          <w:lang w:val="en-US"/>
        </w:rPr>
        <w:t xml:space="preserve"> tháng … năm 2018./.</w:t>
      </w:r>
    </w:p>
    <w:tbl>
      <w:tblPr>
        <w:tblW w:w="9782" w:type="dxa"/>
        <w:tblLook w:val="01E0" w:firstRow="1" w:lastRow="1" w:firstColumn="1" w:lastColumn="1" w:noHBand="0" w:noVBand="0"/>
      </w:tblPr>
      <w:tblGrid>
        <w:gridCol w:w="5406"/>
        <w:gridCol w:w="4376"/>
      </w:tblGrid>
      <w:tr w:rsidR="00C65EC2" w:rsidTr="00137513">
        <w:trPr>
          <w:trHeight w:val="1474"/>
        </w:trPr>
        <w:tc>
          <w:tcPr>
            <w:tcW w:w="5406" w:type="dxa"/>
            <w:hideMark/>
          </w:tcPr>
          <w:p w:rsidR="00C65EC2" w:rsidRDefault="00C65EC2" w:rsidP="002A55AF">
            <w:pPr>
              <w:jc w:val="left"/>
              <w:rPr>
                <w:rFonts w:ascii="Times New Roman" w:hAnsi="Times New Roman" w:cs="Times New Roman"/>
                <w:color w:val="auto"/>
              </w:rPr>
            </w:pPr>
            <w:r>
              <w:rPr>
                <w:rFonts w:ascii="Times New Roman" w:hAnsi="Times New Roman" w:cs="Times New Roman"/>
                <w:b/>
                <w:bCs/>
                <w:i/>
                <w:iCs/>
                <w:color w:val="auto"/>
              </w:rPr>
              <w:t>Nơi nhận:</w:t>
            </w:r>
            <w:r>
              <w:rPr>
                <w:rFonts w:ascii="Times New Roman" w:hAnsi="Times New Roman" w:cs="Times New Roman"/>
                <w:b/>
                <w:bCs/>
                <w:i/>
                <w:iCs/>
                <w:color w:val="auto"/>
              </w:rPr>
              <w:br/>
            </w:r>
            <w:r>
              <w:rPr>
                <w:rFonts w:ascii="Times New Roman" w:hAnsi="Times New Roman" w:cs="Times New Roman"/>
                <w:color w:val="auto"/>
                <w:sz w:val="22"/>
                <w:szCs w:val="22"/>
              </w:rPr>
              <w:t xml:space="preserve">- </w:t>
            </w:r>
            <w:r>
              <w:rPr>
                <w:rFonts w:ascii="Times New Roman" w:hAnsi="Times New Roman" w:cs="Times New Roman"/>
                <w:color w:val="auto"/>
                <w:sz w:val="22"/>
                <w:szCs w:val="22"/>
                <w:lang w:val="en-US"/>
              </w:rPr>
              <w:t xml:space="preserve">UBTVQH, </w:t>
            </w:r>
            <w:r>
              <w:rPr>
                <w:rFonts w:ascii="Times New Roman" w:hAnsi="Times New Roman" w:cs="Times New Roman"/>
                <w:color w:val="auto"/>
                <w:sz w:val="22"/>
                <w:szCs w:val="22"/>
              </w:rPr>
              <w:t>Chính phủ</w:t>
            </w:r>
            <w:r>
              <w:rPr>
                <w:rFonts w:ascii="Times New Roman" w:hAnsi="Times New Roman" w:cs="Times New Roman"/>
                <w:color w:val="auto"/>
                <w:sz w:val="22"/>
                <w:szCs w:val="22"/>
                <w:lang w:val="en-US"/>
              </w:rPr>
              <w:t>, VP Chủ tịch nước</w:t>
            </w:r>
            <w:r>
              <w:rPr>
                <w:rFonts w:ascii="Times New Roman" w:hAnsi="Times New Roman" w:cs="Times New Roman"/>
                <w:color w:val="auto"/>
                <w:sz w:val="22"/>
                <w:szCs w:val="22"/>
              </w:rPr>
              <w:t>;</w:t>
            </w:r>
            <w:r>
              <w:rPr>
                <w:rFonts w:ascii="Times New Roman" w:hAnsi="Times New Roman" w:cs="Times New Roman"/>
                <w:color w:val="auto"/>
                <w:sz w:val="22"/>
                <w:szCs w:val="22"/>
              </w:rPr>
              <w:br/>
              <w:t>- Các Bộ: Tài chính;Lao động-TBXH;</w:t>
            </w:r>
            <w:r>
              <w:rPr>
                <w:rFonts w:ascii="Times New Roman" w:hAnsi="Times New Roman" w:cs="Times New Roman"/>
                <w:color w:val="auto"/>
                <w:sz w:val="22"/>
                <w:szCs w:val="22"/>
              </w:rPr>
              <w:br/>
              <w:t>- Cục Kiểm tra văn bản QPPL (Bộ Tư pháp);</w:t>
            </w:r>
          </w:p>
          <w:p w:rsidR="00C65EC2" w:rsidRDefault="00C65EC2" w:rsidP="002A55AF">
            <w:pPr>
              <w:jc w:val="left"/>
              <w:rPr>
                <w:rFonts w:ascii="Times New Roman" w:hAnsi="Times New Roman" w:cs="Times New Roman"/>
                <w:color w:val="auto"/>
                <w:lang w:val="en-US"/>
              </w:rPr>
            </w:pPr>
            <w:r>
              <w:rPr>
                <w:rFonts w:ascii="Times New Roman" w:hAnsi="Times New Roman" w:cs="Times New Roman"/>
                <w:color w:val="auto"/>
                <w:sz w:val="22"/>
                <w:szCs w:val="22"/>
              </w:rPr>
              <w:t xml:space="preserve">- </w:t>
            </w:r>
            <w:r>
              <w:rPr>
                <w:rFonts w:ascii="Times New Roman" w:hAnsi="Times New Roman" w:cs="Times New Roman"/>
                <w:color w:val="auto"/>
                <w:sz w:val="22"/>
                <w:szCs w:val="22"/>
                <w:lang w:val="en-US"/>
              </w:rPr>
              <w:t xml:space="preserve">BTV </w:t>
            </w:r>
            <w:r>
              <w:rPr>
                <w:rFonts w:ascii="Times New Roman" w:hAnsi="Times New Roman" w:cs="Times New Roman"/>
                <w:color w:val="auto"/>
                <w:sz w:val="22"/>
                <w:szCs w:val="22"/>
              </w:rPr>
              <w:t>Thành uỷ,</w:t>
            </w:r>
            <w:r>
              <w:rPr>
                <w:rFonts w:ascii="Times New Roman" w:hAnsi="Times New Roman" w:cs="Times New Roman"/>
                <w:color w:val="auto"/>
                <w:sz w:val="22"/>
                <w:szCs w:val="22"/>
                <w:lang w:val="en-US"/>
              </w:rPr>
              <w:t xml:space="preserve"> cơ quan tham mưu, giúp việc Thành ủy;</w:t>
            </w:r>
          </w:p>
          <w:p w:rsidR="00C65EC2" w:rsidRDefault="00C65EC2" w:rsidP="002A55AF">
            <w:pPr>
              <w:jc w:val="left"/>
              <w:rPr>
                <w:rFonts w:ascii="Times New Roman" w:hAnsi="Times New Roman" w:cs="Times New Roman"/>
                <w:color w:val="auto"/>
                <w:lang w:val="en-US"/>
              </w:rPr>
            </w:pPr>
            <w:r>
              <w:rPr>
                <w:rFonts w:ascii="Times New Roman" w:hAnsi="Times New Roman" w:cs="Times New Roman"/>
                <w:color w:val="auto"/>
                <w:sz w:val="22"/>
                <w:szCs w:val="22"/>
                <w:lang w:val="en-US"/>
              </w:rPr>
              <w:t xml:space="preserve">- ĐB </w:t>
            </w:r>
            <w:r>
              <w:rPr>
                <w:rFonts w:ascii="Times New Roman" w:hAnsi="Times New Roman" w:cs="Times New Roman"/>
                <w:color w:val="auto"/>
                <w:sz w:val="22"/>
                <w:szCs w:val="22"/>
              </w:rPr>
              <w:t>HĐND thành phố;</w:t>
            </w:r>
            <w:r>
              <w:rPr>
                <w:rFonts w:ascii="Times New Roman" w:hAnsi="Times New Roman" w:cs="Times New Roman"/>
                <w:color w:val="auto"/>
                <w:sz w:val="22"/>
                <w:szCs w:val="22"/>
                <w:lang w:val="en-US"/>
              </w:rPr>
              <w:t xml:space="preserve"> </w:t>
            </w:r>
            <w:r>
              <w:rPr>
                <w:rFonts w:ascii="Times New Roman" w:hAnsi="Times New Roman" w:cs="Times New Roman"/>
                <w:color w:val="auto"/>
                <w:sz w:val="22"/>
                <w:szCs w:val="22"/>
              </w:rPr>
              <w:t>Đoàn ĐBQH thành phố</w:t>
            </w:r>
            <w:r>
              <w:rPr>
                <w:rFonts w:ascii="Times New Roman" w:hAnsi="Times New Roman" w:cs="Times New Roman"/>
                <w:color w:val="auto"/>
                <w:sz w:val="22"/>
                <w:szCs w:val="22"/>
                <w:lang w:val="en-US"/>
              </w:rPr>
              <w:t>;</w:t>
            </w:r>
            <w:r>
              <w:rPr>
                <w:rFonts w:ascii="Times New Roman" w:hAnsi="Times New Roman" w:cs="Times New Roman"/>
                <w:color w:val="auto"/>
                <w:sz w:val="22"/>
                <w:szCs w:val="22"/>
              </w:rPr>
              <w:br/>
              <w:t>- UBND thành phố;</w:t>
            </w:r>
            <w:r>
              <w:rPr>
                <w:rFonts w:ascii="Times New Roman" w:hAnsi="Times New Roman" w:cs="Times New Roman"/>
                <w:color w:val="auto"/>
                <w:sz w:val="22"/>
                <w:szCs w:val="22"/>
                <w:lang w:val="en-US"/>
              </w:rPr>
              <w:t xml:space="preserve"> </w:t>
            </w:r>
            <w:r>
              <w:rPr>
                <w:rFonts w:ascii="Times New Roman" w:hAnsi="Times New Roman" w:cs="Times New Roman"/>
                <w:color w:val="auto"/>
                <w:sz w:val="22"/>
                <w:szCs w:val="22"/>
              </w:rPr>
              <w:t>UBMTTQVN thành phố;</w:t>
            </w:r>
          </w:p>
          <w:p w:rsidR="00C65EC2" w:rsidRDefault="00C65EC2" w:rsidP="002A55AF">
            <w:pPr>
              <w:jc w:val="left"/>
              <w:rPr>
                <w:rFonts w:ascii="Times New Roman" w:hAnsi="Times New Roman" w:cs="Times New Roman"/>
                <w:color w:val="auto"/>
                <w:lang w:val="en-US"/>
              </w:rPr>
            </w:pPr>
            <w:r>
              <w:rPr>
                <w:rFonts w:ascii="Times New Roman" w:hAnsi="Times New Roman" w:cs="Times New Roman"/>
                <w:color w:val="auto"/>
                <w:sz w:val="22"/>
                <w:szCs w:val="22"/>
                <w:lang w:val="en-US"/>
              </w:rPr>
              <w:t xml:space="preserve">- VP </w:t>
            </w:r>
            <w:r>
              <w:rPr>
                <w:rFonts w:ascii="Times New Roman" w:hAnsi="Times New Roman" w:cs="Times New Roman"/>
                <w:color w:val="auto"/>
                <w:sz w:val="22"/>
                <w:szCs w:val="22"/>
              </w:rPr>
              <w:t>Đoàn ĐBQH</w:t>
            </w:r>
            <w:r>
              <w:rPr>
                <w:rFonts w:ascii="Times New Roman" w:hAnsi="Times New Roman" w:cs="Times New Roman"/>
                <w:color w:val="auto"/>
                <w:sz w:val="22"/>
                <w:szCs w:val="22"/>
                <w:lang w:val="en-US"/>
              </w:rPr>
              <w:t>, HĐND, UBND thành phố;</w:t>
            </w:r>
          </w:p>
          <w:p w:rsidR="00C65EC2" w:rsidRDefault="00C65EC2" w:rsidP="002A55AF">
            <w:pPr>
              <w:jc w:val="left"/>
              <w:rPr>
                <w:rFonts w:ascii="Times New Roman" w:hAnsi="Times New Roman" w:cs="Times New Roman"/>
                <w:color w:val="auto"/>
              </w:rPr>
            </w:pPr>
            <w:r>
              <w:rPr>
                <w:rFonts w:ascii="Times New Roman" w:hAnsi="Times New Roman" w:cs="Times New Roman"/>
                <w:color w:val="auto"/>
                <w:sz w:val="22"/>
                <w:szCs w:val="22"/>
              </w:rPr>
              <w:t>- Các sở, ban, ngành, đoàn thể;</w:t>
            </w:r>
            <w:r>
              <w:rPr>
                <w:rFonts w:ascii="Times New Roman" w:hAnsi="Times New Roman" w:cs="Times New Roman"/>
                <w:color w:val="auto"/>
                <w:sz w:val="22"/>
                <w:szCs w:val="22"/>
              </w:rPr>
              <w:br/>
              <w:t xml:space="preserve">- </w:t>
            </w:r>
            <w:r>
              <w:rPr>
                <w:rFonts w:ascii="Times New Roman" w:hAnsi="Times New Roman" w:cs="Times New Roman"/>
                <w:color w:val="auto"/>
                <w:sz w:val="22"/>
                <w:szCs w:val="22"/>
                <w:lang w:val="en-US"/>
              </w:rPr>
              <w:t xml:space="preserve">Quận, huyện ủy; HĐND, </w:t>
            </w:r>
            <w:r>
              <w:rPr>
                <w:rFonts w:ascii="Times New Roman" w:hAnsi="Times New Roman" w:cs="Times New Roman"/>
                <w:color w:val="auto"/>
                <w:sz w:val="22"/>
                <w:szCs w:val="22"/>
              </w:rPr>
              <w:t>UBND</w:t>
            </w:r>
            <w:r>
              <w:rPr>
                <w:rFonts w:ascii="Times New Roman" w:hAnsi="Times New Roman" w:cs="Times New Roman"/>
                <w:color w:val="auto"/>
                <w:sz w:val="22"/>
                <w:szCs w:val="22"/>
                <w:lang w:val="en-US"/>
              </w:rPr>
              <w:t>, UBMTTQVN</w:t>
            </w:r>
            <w:r>
              <w:rPr>
                <w:rFonts w:ascii="Times New Roman" w:hAnsi="Times New Roman" w:cs="Times New Roman"/>
                <w:color w:val="auto"/>
                <w:sz w:val="22"/>
                <w:szCs w:val="22"/>
              </w:rPr>
              <w:t xml:space="preserve"> các quận, huyện</w:t>
            </w:r>
            <w:r>
              <w:rPr>
                <w:rFonts w:ascii="Times New Roman" w:hAnsi="Times New Roman" w:cs="Times New Roman"/>
                <w:color w:val="auto"/>
                <w:sz w:val="22"/>
                <w:szCs w:val="22"/>
                <w:lang w:val="en-US"/>
              </w:rPr>
              <w:t xml:space="preserve">; UBND, HĐND </w:t>
            </w:r>
            <w:r>
              <w:rPr>
                <w:rFonts w:ascii="Times New Roman" w:hAnsi="Times New Roman" w:cs="Times New Roman"/>
                <w:color w:val="auto"/>
                <w:sz w:val="22"/>
                <w:szCs w:val="22"/>
              </w:rPr>
              <w:t xml:space="preserve">xã, phường; </w:t>
            </w:r>
          </w:p>
          <w:p w:rsidR="00C65EC2" w:rsidRDefault="00C65EC2" w:rsidP="002A55AF">
            <w:pPr>
              <w:jc w:val="left"/>
              <w:rPr>
                <w:rFonts w:ascii="Times New Roman" w:eastAsia="Times New Roman" w:hAnsi="Times New Roman" w:cs="Times New Roman"/>
                <w:color w:val="auto"/>
              </w:rPr>
            </w:pPr>
            <w:r>
              <w:rPr>
                <w:rFonts w:ascii="Times New Roman" w:hAnsi="Times New Roman" w:cs="Times New Roman"/>
                <w:color w:val="auto"/>
                <w:sz w:val="22"/>
                <w:szCs w:val="22"/>
              </w:rPr>
              <w:t xml:space="preserve">- </w:t>
            </w:r>
            <w:r>
              <w:rPr>
                <w:rFonts w:ascii="Times New Roman" w:hAnsi="Times New Roman" w:cs="Times New Roman"/>
                <w:color w:val="auto"/>
                <w:sz w:val="22"/>
                <w:szCs w:val="22"/>
                <w:lang w:val="en-US"/>
              </w:rPr>
              <w:t xml:space="preserve">Báo ĐN, Báo CATP ĐN, Đài PTTHĐN, Trung tâm TTVN (VTV8), </w:t>
            </w:r>
            <w:r>
              <w:rPr>
                <w:rFonts w:ascii="Times New Roman" w:hAnsi="Times New Roman" w:cs="Times New Roman"/>
                <w:color w:val="auto"/>
                <w:sz w:val="22"/>
                <w:szCs w:val="22"/>
              </w:rPr>
              <w:t xml:space="preserve">Cổng </w:t>
            </w:r>
            <w:r>
              <w:rPr>
                <w:rFonts w:ascii="Times New Roman" w:hAnsi="Times New Roman" w:cs="Times New Roman"/>
                <w:color w:val="auto"/>
                <w:sz w:val="22"/>
                <w:szCs w:val="22"/>
                <w:lang w:val="en-US"/>
              </w:rPr>
              <w:t>TTĐT thành phố</w:t>
            </w:r>
            <w:r>
              <w:rPr>
                <w:rFonts w:ascii="Times New Roman" w:hAnsi="Times New Roman" w:cs="Times New Roman"/>
                <w:color w:val="auto"/>
                <w:sz w:val="22"/>
                <w:szCs w:val="22"/>
              </w:rPr>
              <w:t>;</w:t>
            </w:r>
            <w:r>
              <w:rPr>
                <w:rFonts w:ascii="Times New Roman" w:hAnsi="Times New Roman" w:cs="Times New Roman"/>
                <w:color w:val="auto"/>
                <w:sz w:val="22"/>
                <w:szCs w:val="22"/>
              </w:rPr>
              <w:br/>
              <w:t xml:space="preserve">- Lưu: VT, </w:t>
            </w:r>
            <w:r>
              <w:rPr>
                <w:rFonts w:ascii="Times New Roman" w:hAnsi="Times New Roman" w:cs="Times New Roman"/>
                <w:color w:val="auto"/>
                <w:sz w:val="22"/>
                <w:szCs w:val="22"/>
                <w:lang w:val="en-US"/>
              </w:rPr>
              <w:t>TH</w:t>
            </w:r>
            <w:r>
              <w:rPr>
                <w:rFonts w:ascii="Times New Roman" w:hAnsi="Times New Roman" w:cs="Times New Roman"/>
                <w:color w:val="auto"/>
                <w:sz w:val="22"/>
                <w:szCs w:val="22"/>
              </w:rPr>
              <w:t>.</w:t>
            </w:r>
          </w:p>
        </w:tc>
        <w:tc>
          <w:tcPr>
            <w:tcW w:w="4376" w:type="dxa"/>
            <w:hideMark/>
          </w:tcPr>
          <w:p w:rsidR="00C65EC2" w:rsidRDefault="00C65EC2">
            <w:pPr>
              <w:spacing w:line="276" w:lineRule="auto"/>
              <w:rPr>
                <w:rFonts w:ascii="Times New Roman" w:eastAsia="Times New Roman" w:hAnsi="Times New Roman" w:cs="Times New Roman"/>
                <w:color w:val="auto"/>
                <w:sz w:val="28"/>
                <w:szCs w:val="28"/>
                <w:lang w:val="en-US"/>
              </w:rPr>
            </w:pPr>
            <w:r>
              <w:rPr>
                <w:rFonts w:ascii="Times New Roman" w:eastAsia="Times New Roman" w:hAnsi="Times New Roman" w:cs="Times New Roman"/>
                <w:b/>
                <w:color w:val="auto"/>
                <w:sz w:val="28"/>
                <w:szCs w:val="28"/>
              </w:rPr>
              <w:t>CHỦ TỊCH</w:t>
            </w:r>
            <w:r>
              <w:rPr>
                <w:rFonts w:ascii="Times New Roman" w:eastAsia="Times New Roman" w:hAnsi="Times New Roman" w:cs="Times New Roman"/>
                <w:b/>
                <w:color w:val="auto"/>
                <w:sz w:val="28"/>
                <w:szCs w:val="28"/>
                <w:lang w:val="en-US"/>
              </w:rPr>
              <w:br/>
            </w:r>
          </w:p>
          <w:p w:rsidR="00C65EC2" w:rsidRDefault="00C65EC2">
            <w:pPr>
              <w:spacing w:line="276" w:lineRule="auto"/>
              <w:rPr>
                <w:rFonts w:ascii="Times New Roman" w:eastAsia="Times New Roman" w:hAnsi="Times New Roman" w:cs="Times New Roman"/>
                <w:b/>
                <w:color w:val="auto"/>
                <w:sz w:val="28"/>
                <w:szCs w:val="28"/>
                <w:lang w:val="en-US"/>
              </w:rPr>
            </w:pPr>
            <w:r>
              <w:rPr>
                <w:rFonts w:ascii="Times New Roman" w:eastAsia="Times New Roman" w:hAnsi="Times New Roman" w:cs="Times New Roman"/>
                <w:i/>
                <w:color w:val="auto"/>
                <w:sz w:val="28"/>
                <w:szCs w:val="28"/>
                <w:lang w:val="en-US"/>
              </w:rPr>
              <w:br/>
            </w:r>
            <w:r>
              <w:rPr>
                <w:rFonts w:ascii="Times New Roman" w:eastAsia="Times New Roman" w:hAnsi="Times New Roman" w:cs="Times New Roman"/>
                <w:i/>
                <w:color w:val="auto"/>
                <w:sz w:val="28"/>
                <w:szCs w:val="28"/>
                <w:lang w:val="en-US"/>
              </w:rPr>
              <w:br/>
            </w:r>
          </w:p>
        </w:tc>
      </w:tr>
    </w:tbl>
    <w:p w:rsidR="00C65EC2" w:rsidRDefault="00C65EC2" w:rsidP="00C65EC2">
      <w:pPr>
        <w:tabs>
          <w:tab w:val="right" w:leader="dot" w:pos="8640"/>
        </w:tabs>
        <w:rPr>
          <w:rFonts w:ascii="Times New Roman" w:hAnsi="Times New Roman" w:cs="Times New Roman"/>
          <w:b/>
          <w:i/>
          <w:color w:val="auto"/>
          <w:sz w:val="22"/>
          <w:szCs w:val="22"/>
          <w:lang w:val="en-US"/>
        </w:rPr>
      </w:pPr>
    </w:p>
    <w:p w:rsidR="00624D5F" w:rsidRDefault="00624D5F"/>
    <w:sectPr w:rsidR="00624D5F" w:rsidSect="001B1CC9">
      <w:headerReference w:type="default" r:id="rId7"/>
      <w:pgSz w:w="11907" w:h="16840" w:code="9"/>
      <w:pgMar w:top="1134" w:right="1021" w:bottom="1077" w:left="1247"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9CF" w:rsidRDefault="007B79CF" w:rsidP="001B1CC9">
      <w:r>
        <w:separator/>
      </w:r>
    </w:p>
  </w:endnote>
  <w:endnote w:type="continuationSeparator" w:id="0">
    <w:p w:rsidR="007B79CF" w:rsidRDefault="007B79CF" w:rsidP="001B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9CF" w:rsidRDefault="007B79CF" w:rsidP="001B1CC9">
      <w:r>
        <w:separator/>
      </w:r>
    </w:p>
  </w:footnote>
  <w:footnote w:type="continuationSeparator" w:id="0">
    <w:p w:rsidR="007B79CF" w:rsidRDefault="007B79CF" w:rsidP="001B1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373893"/>
      <w:docPartObj>
        <w:docPartGallery w:val="Page Numbers (Top of Page)"/>
        <w:docPartUnique/>
      </w:docPartObj>
    </w:sdtPr>
    <w:sdtEndPr>
      <w:rPr>
        <w:rFonts w:ascii="Times New Roman" w:hAnsi="Times New Roman" w:cs="Times New Roman"/>
        <w:noProof/>
        <w:sz w:val="28"/>
        <w:szCs w:val="28"/>
      </w:rPr>
    </w:sdtEndPr>
    <w:sdtContent>
      <w:p w:rsidR="001B1CC9" w:rsidRPr="001B1CC9" w:rsidRDefault="001B1CC9">
        <w:pPr>
          <w:pStyle w:val="Header"/>
          <w:rPr>
            <w:rFonts w:ascii="Times New Roman" w:hAnsi="Times New Roman" w:cs="Times New Roman"/>
            <w:sz w:val="28"/>
            <w:szCs w:val="28"/>
          </w:rPr>
        </w:pPr>
        <w:r w:rsidRPr="001B1CC9">
          <w:rPr>
            <w:rFonts w:ascii="Times New Roman" w:hAnsi="Times New Roman" w:cs="Times New Roman"/>
            <w:sz w:val="28"/>
            <w:szCs w:val="28"/>
          </w:rPr>
          <w:fldChar w:fldCharType="begin"/>
        </w:r>
        <w:r w:rsidRPr="001B1CC9">
          <w:rPr>
            <w:rFonts w:ascii="Times New Roman" w:hAnsi="Times New Roman" w:cs="Times New Roman"/>
            <w:sz w:val="28"/>
            <w:szCs w:val="28"/>
          </w:rPr>
          <w:instrText xml:space="preserve"> PAGE   \* MERGEFORMAT </w:instrText>
        </w:r>
        <w:r w:rsidRPr="001B1CC9">
          <w:rPr>
            <w:rFonts w:ascii="Times New Roman" w:hAnsi="Times New Roman" w:cs="Times New Roman"/>
            <w:sz w:val="28"/>
            <w:szCs w:val="28"/>
          </w:rPr>
          <w:fldChar w:fldCharType="separate"/>
        </w:r>
        <w:r w:rsidR="00F772BC">
          <w:rPr>
            <w:rFonts w:ascii="Times New Roman" w:hAnsi="Times New Roman" w:cs="Times New Roman"/>
            <w:noProof/>
            <w:sz w:val="28"/>
            <w:szCs w:val="28"/>
          </w:rPr>
          <w:t>4</w:t>
        </w:r>
        <w:r w:rsidRPr="001B1CC9">
          <w:rPr>
            <w:rFonts w:ascii="Times New Roman" w:hAnsi="Times New Roman" w:cs="Times New Roman"/>
            <w:noProof/>
            <w:sz w:val="28"/>
            <w:szCs w:val="28"/>
          </w:rPr>
          <w:fldChar w:fldCharType="end"/>
        </w:r>
      </w:p>
    </w:sdtContent>
  </w:sdt>
  <w:p w:rsidR="001B1CC9" w:rsidRDefault="001B1C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C2"/>
    <w:rsid w:val="000416BE"/>
    <w:rsid w:val="00064910"/>
    <w:rsid w:val="000D2162"/>
    <w:rsid w:val="001037D4"/>
    <w:rsid w:val="00105CA4"/>
    <w:rsid w:val="00137513"/>
    <w:rsid w:val="001774FD"/>
    <w:rsid w:val="001B1CC9"/>
    <w:rsid w:val="001D3941"/>
    <w:rsid w:val="001F37C6"/>
    <w:rsid w:val="00202CAF"/>
    <w:rsid w:val="00206B28"/>
    <w:rsid w:val="002167D0"/>
    <w:rsid w:val="002A55AF"/>
    <w:rsid w:val="00302732"/>
    <w:rsid w:val="003268DA"/>
    <w:rsid w:val="003538E4"/>
    <w:rsid w:val="00380C7C"/>
    <w:rsid w:val="003D6BF4"/>
    <w:rsid w:val="00497CFE"/>
    <w:rsid w:val="004A2B2E"/>
    <w:rsid w:val="004D58C8"/>
    <w:rsid w:val="004F6E4E"/>
    <w:rsid w:val="00593C4E"/>
    <w:rsid w:val="005D6CA4"/>
    <w:rsid w:val="005E35E9"/>
    <w:rsid w:val="00624D5F"/>
    <w:rsid w:val="00694005"/>
    <w:rsid w:val="006D0690"/>
    <w:rsid w:val="0073589A"/>
    <w:rsid w:val="007470E2"/>
    <w:rsid w:val="00756EBD"/>
    <w:rsid w:val="007A13E3"/>
    <w:rsid w:val="007B79CF"/>
    <w:rsid w:val="007C7DBE"/>
    <w:rsid w:val="007D4757"/>
    <w:rsid w:val="008316A4"/>
    <w:rsid w:val="00842FBC"/>
    <w:rsid w:val="00883708"/>
    <w:rsid w:val="008C3F09"/>
    <w:rsid w:val="00991DEE"/>
    <w:rsid w:val="009934B1"/>
    <w:rsid w:val="009B50C6"/>
    <w:rsid w:val="00A07188"/>
    <w:rsid w:val="00A271B3"/>
    <w:rsid w:val="00A670FE"/>
    <w:rsid w:val="00A90F67"/>
    <w:rsid w:val="00B154FA"/>
    <w:rsid w:val="00B62574"/>
    <w:rsid w:val="00BE75CD"/>
    <w:rsid w:val="00C163CD"/>
    <w:rsid w:val="00C640AF"/>
    <w:rsid w:val="00C65EC2"/>
    <w:rsid w:val="00C73CC0"/>
    <w:rsid w:val="00C8706B"/>
    <w:rsid w:val="00CB31AA"/>
    <w:rsid w:val="00CD25DD"/>
    <w:rsid w:val="00CD3B1E"/>
    <w:rsid w:val="00D51F16"/>
    <w:rsid w:val="00D802FE"/>
    <w:rsid w:val="00DC1971"/>
    <w:rsid w:val="00DD3F23"/>
    <w:rsid w:val="00E03835"/>
    <w:rsid w:val="00E33B1F"/>
    <w:rsid w:val="00E52398"/>
    <w:rsid w:val="00E56FB8"/>
    <w:rsid w:val="00E704EB"/>
    <w:rsid w:val="00E725B8"/>
    <w:rsid w:val="00E86AE3"/>
    <w:rsid w:val="00EE144C"/>
    <w:rsid w:val="00EF3F5A"/>
    <w:rsid w:val="00F02362"/>
    <w:rsid w:val="00F73E8C"/>
    <w:rsid w:val="00F763B7"/>
    <w:rsid w:val="00F772BC"/>
    <w:rsid w:val="00FA7E45"/>
    <w:rsid w:val="00FB227D"/>
    <w:rsid w:val="00FD72DA"/>
    <w:rsid w:val="00FE46A9"/>
    <w:rsid w:val="00FE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C2"/>
    <w:rPr>
      <w:rFonts w:ascii="Courier New" w:eastAsia="Courier New" w:hAnsi="Courier New" w:cs="Courier New"/>
      <w:color w:val="000000"/>
      <w:sz w:val="24"/>
      <w:szCs w:val="24"/>
      <w:lang w:val="vi-VN" w:eastAsia="vi-VN"/>
    </w:rPr>
  </w:style>
  <w:style w:type="paragraph" w:styleId="Heading3">
    <w:name w:val="heading 3"/>
    <w:basedOn w:val="Normal"/>
    <w:next w:val="Normal"/>
    <w:link w:val="Heading3Char"/>
    <w:semiHidden/>
    <w:unhideWhenUsed/>
    <w:qFormat/>
    <w:rsid w:val="00C65EC2"/>
    <w:pPr>
      <w:keepNext/>
      <w:outlineLvl w:val="2"/>
    </w:pPr>
    <w:rPr>
      <w:rFonts w:ascii="Times New Roman" w:eastAsia="Times New Roman" w:hAnsi="Times New Roman" w:cs="Times New Roman"/>
      <w:b/>
      <w:color w:val="auto"/>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65EC2"/>
    <w:rPr>
      <w:rFonts w:eastAsia="Times New Roman" w:cs="Times New Roman"/>
      <w:b/>
      <w:sz w:val="28"/>
      <w:szCs w:val="20"/>
    </w:rPr>
  </w:style>
  <w:style w:type="paragraph" w:styleId="BodyText2">
    <w:name w:val="Body Text 2"/>
    <w:basedOn w:val="Normal"/>
    <w:link w:val="BodyText2Char"/>
    <w:unhideWhenUsed/>
    <w:rsid w:val="00C65EC2"/>
    <w:pPr>
      <w:jc w:val="both"/>
    </w:pPr>
    <w:rPr>
      <w:rFonts w:ascii="Times New Roman" w:eastAsia="Times New Roman" w:hAnsi="Times New Roman" w:cs="Times New Roman"/>
      <w:color w:val="auto"/>
      <w:sz w:val="28"/>
      <w:szCs w:val="20"/>
      <w:lang w:val="en-US" w:eastAsia="en-US"/>
    </w:rPr>
  </w:style>
  <w:style w:type="character" w:customStyle="1" w:styleId="BodyText2Char">
    <w:name w:val="Body Text 2 Char"/>
    <w:basedOn w:val="DefaultParagraphFont"/>
    <w:link w:val="BodyText2"/>
    <w:rsid w:val="00C65EC2"/>
    <w:rPr>
      <w:rFonts w:eastAsia="Times New Roman" w:cs="Times New Roman"/>
      <w:sz w:val="28"/>
      <w:szCs w:val="20"/>
    </w:rPr>
  </w:style>
  <w:style w:type="paragraph" w:styleId="Header">
    <w:name w:val="header"/>
    <w:basedOn w:val="Normal"/>
    <w:link w:val="HeaderChar"/>
    <w:uiPriority w:val="99"/>
    <w:unhideWhenUsed/>
    <w:rsid w:val="001B1CC9"/>
    <w:pPr>
      <w:tabs>
        <w:tab w:val="center" w:pos="4680"/>
        <w:tab w:val="right" w:pos="9360"/>
      </w:tabs>
    </w:pPr>
  </w:style>
  <w:style w:type="character" w:customStyle="1" w:styleId="HeaderChar">
    <w:name w:val="Header Char"/>
    <w:basedOn w:val="DefaultParagraphFont"/>
    <w:link w:val="Header"/>
    <w:uiPriority w:val="99"/>
    <w:rsid w:val="001B1CC9"/>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1B1CC9"/>
    <w:pPr>
      <w:tabs>
        <w:tab w:val="center" w:pos="4680"/>
        <w:tab w:val="right" w:pos="9360"/>
      </w:tabs>
    </w:pPr>
  </w:style>
  <w:style w:type="character" w:customStyle="1" w:styleId="FooterChar">
    <w:name w:val="Footer Char"/>
    <w:basedOn w:val="DefaultParagraphFont"/>
    <w:link w:val="Footer"/>
    <w:uiPriority w:val="99"/>
    <w:rsid w:val="001B1CC9"/>
    <w:rPr>
      <w:rFonts w:ascii="Courier New" w:eastAsia="Courier New" w:hAnsi="Courier New" w:cs="Courier New"/>
      <w:color w:val="000000"/>
      <w:sz w:val="24"/>
      <w:szCs w:val="24"/>
      <w:lang w:val="vi-VN" w:eastAsia="vi-VN"/>
    </w:rPr>
  </w:style>
  <w:style w:type="paragraph" w:styleId="BalloonText">
    <w:name w:val="Balloon Text"/>
    <w:basedOn w:val="Normal"/>
    <w:link w:val="BalloonTextChar"/>
    <w:uiPriority w:val="99"/>
    <w:semiHidden/>
    <w:unhideWhenUsed/>
    <w:rsid w:val="001F37C6"/>
    <w:rPr>
      <w:rFonts w:ascii="Tahoma" w:hAnsi="Tahoma" w:cs="Tahoma"/>
      <w:sz w:val="16"/>
      <w:szCs w:val="16"/>
    </w:rPr>
  </w:style>
  <w:style w:type="character" w:customStyle="1" w:styleId="BalloonTextChar">
    <w:name w:val="Balloon Text Char"/>
    <w:basedOn w:val="DefaultParagraphFont"/>
    <w:link w:val="BalloonText"/>
    <w:uiPriority w:val="99"/>
    <w:semiHidden/>
    <w:rsid w:val="001F37C6"/>
    <w:rPr>
      <w:rFonts w:ascii="Tahoma" w:eastAsia="Courier New"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C2"/>
    <w:rPr>
      <w:rFonts w:ascii="Courier New" w:eastAsia="Courier New" w:hAnsi="Courier New" w:cs="Courier New"/>
      <w:color w:val="000000"/>
      <w:sz w:val="24"/>
      <w:szCs w:val="24"/>
      <w:lang w:val="vi-VN" w:eastAsia="vi-VN"/>
    </w:rPr>
  </w:style>
  <w:style w:type="paragraph" w:styleId="Heading3">
    <w:name w:val="heading 3"/>
    <w:basedOn w:val="Normal"/>
    <w:next w:val="Normal"/>
    <w:link w:val="Heading3Char"/>
    <w:semiHidden/>
    <w:unhideWhenUsed/>
    <w:qFormat/>
    <w:rsid w:val="00C65EC2"/>
    <w:pPr>
      <w:keepNext/>
      <w:outlineLvl w:val="2"/>
    </w:pPr>
    <w:rPr>
      <w:rFonts w:ascii="Times New Roman" w:eastAsia="Times New Roman" w:hAnsi="Times New Roman" w:cs="Times New Roman"/>
      <w:b/>
      <w:color w:val="auto"/>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65EC2"/>
    <w:rPr>
      <w:rFonts w:eastAsia="Times New Roman" w:cs="Times New Roman"/>
      <w:b/>
      <w:sz w:val="28"/>
      <w:szCs w:val="20"/>
    </w:rPr>
  </w:style>
  <w:style w:type="paragraph" w:styleId="BodyText2">
    <w:name w:val="Body Text 2"/>
    <w:basedOn w:val="Normal"/>
    <w:link w:val="BodyText2Char"/>
    <w:unhideWhenUsed/>
    <w:rsid w:val="00C65EC2"/>
    <w:pPr>
      <w:jc w:val="both"/>
    </w:pPr>
    <w:rPr>
      <w:rFonts w:ascii="Times New Roman" w:eastAsia="Times New Roman" w:hAnsi="Times New Roman" w:cs="Times New Roman"/>
      <w:color w:val="auto"/>
      <w:sz w:val="28"/>
      <w:szCs w:val="20"/>
      <w:lang w:val="en-US" w:eastAsia="en-US"/>
    </w:rPr>
  </w:style>
  <w:style w:type="character" w:customStyle="1" w:styleId="BodyText2Char">
    <w:name w:val="Body Text 2 Char"/>
    <w:basedOn w:val="DefaultParagraphFont"/>
    <w:link w:val="BodyText2"/>
    <w:rsid w:val="00C65EC2"/>
    <w:rPr>
      <w:rFonts w:eastAsia="Times New Roman" w:cs="Times New Roman"/>
      <w:sz w:val="28"/>
      <w:szCs w:val="20"/>
    </w:rPr>
  </w:style>
  <w:style w:type="paragraph" w:styleId="Header">
    <w:name w:val="header"/>
    <w:basedOn w:val="Normal"/>
    <w:link w:val="HeaderChar"/>
    <w:uiPriority w:val="99"/>
    <w:unhideWhenUsed/>
    <w:rsid w:val="001B1CC9"/>
    <w:pPr>
      <w:tabs>
        <w:tab w:val="center" w:pos="4680"/>
        <w:tab w:val="right" w:pos="9360"/>
      </w:tabs>
    </w:pPr>
  </w:style>
  <w:style w:type="character" w:customStyle="1" w:styleId="HeaderChar">
    <w:name w:val="Header Char"/>
    <w:basedOn w:val="DefaultParagraphFont"/>
    <w:link w:val="Header"/>
    <w:uiPriority w:val="99"/>
    <w:rsid w:val="001B1CC9"/>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1B1CC9"/>
    <w:pPr>
      <w:tabs>
        <w:tab w:val="center" w:pos="4680"/>
        <w:tab w:val="right" w:pos="9360"/>
      </w:tabs>
    </w:pPr>
  </w:style>
  <w:style w:type="character" w:customStyle="1" w:styleId="FooterChar">
    <w:name w:val="Footer Char"/>
    <w:basedOn w:val="DefaultParagraphFont"/>
    <w:link w:val="Footer"/>
    <w:uiPriority w:val="99"/>
    <w:rsid w:val="001B1CC9"/>
    <w:rPr>
      <w:rFonts w:ascii="Courier New" w:eastAsia="Courier New" w:hAnsi="Courier New" w:cs="Courier New"/>
      <w:color w:val="000000"/>
      <w:sz w:val="24"/>
      <w:szCs w:val="24"/>
      <w:lang w:val="vi-VN" w:eastAsia="vi-VN"/>
    </w:rPr>
  </w:style>
  <w:style w:type="paragraph" w:styleId="BalloonText">
    <w:name w:val="Balloon Text"/>
    <w:basedOn w:val="Normal"/>
    <w:link w:val="BalloonTextChar"/>
    <w:uiPriority w:val="99"/>
    <w:semiHidden/>
    <w:unhideWhenUsed/>
    <w:rsid w:val="001F37C6"/>
    <w:rPr>
      <w:rFonts w:ascii="Tahoma" w:hAnsi="Tahoma" w:cs="Tahoma"/>
      <w:sz w:val="16"/>
      <w:szCs w:val="16"/>
    </w:rPr>
  </w:style>
  <w:style w:type="character" w:customStyle="1" w:styleId="BalloonTextChar">
    <w:name w:val="Balloon Text Char"/>
    <w:basedOn w:val="DefaultParagraphFont"/>
    <w:link w:val="BalloonText"/>
    <w:uiPriority w:val="99"/>
    <w:semiHidden/>
    <w:rsid w:val="001F37C6"/>
    <w:rPr>
      <w:rFonts w:ascii="Tahoma" w:eastAsia="Courier New"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6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Nguyen</cp:lastModifiedBy>
  <cp:revision>2</cp:revision>
  <cp:lastPrinted>2018-10-31T08:37:00Z</cp:lastPrinted>
  <dcterms:created xsi:type="dcterms:W3CDTF">2018-11-07T01:37:00Z</dcterms:created>
  <dcterms:modified xsi:type="dcterms:W3CDTF">2018-11-07T01:37:00Z</dcterms:modified>
</cp:coreProperties>
</file>